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ACE84">
      <w:pPr>
        <w:topLinePunct/>
        <w:jc w:val="center"/>
        <w:rPr>
          <w:rFonts w:ascii="Times New Roman" w:hAnsi="Times New Roman"/>
          <w:color w:val="000000" w:themeColor="text1"/>
          <w:highlight w:val="none"/>
          <w14:textFill>
            <w14:solidFill>
              <w14:schemeClr w14:val="tx1"/>
            </w14:solidFill>
          </w14:textFill>
        </w:rPr>
      </w:pPr>
    </w:p>
    <w:p w14:paraId="0EF3A6DF">
      <w:pPr>
        <w:topLinePunct/>
        <w:jc w:val="center"/>
        <w:rPr>
          <w:rFonts w:ascii="Times New Roman" w:hAnsi="Times New Roman"/>
          <w:color w:val="000000" w:themeColor="text1"/>
          <w:highlight w:val="none"/>
          <w14:textFill>
            <w14:solidFill>
              <w14:schemeClr w14:val="tx1"/>
            </w14:solidFill>
          </w14:textFill>
        </w:rPr>
      </w:pPr>
    </w:p>
    <w:p w14:paraId="18169331">
      <w:pPr>
        <w:topLinePunct/>
        <w:jc w:val="center"/>
        <w:rPr>
          <w:rFonts w:ascii="Times New Roman" w:hAnsi="Times New Roman"/>
          <w:color w:val="000000" w:themeColor="text1"/>
          <w:highlight w:val="none"/>
          <w14:textFill>
            <w14:solidFill>
              <w14:schemeClr w14:val="tx1"/>
            </w14:solidFill>
          </w14:textFill>
        </w:rPr>
      </w:pPr>
    </w:p>
    <w:p w14:paraId="1013918F">
      <w:pPr>
        <w:topLinePunct/>
        <w:jc w:val="center"/>
        <w:rPr>
          <w:rFonts w:ascii="Times New Roman" w:hAnsi="Times New Roman"/>
          <w:color w:val="000000" w:themeColor="text1"/>
          <w:highlight w:val="none"/>
          <w14:textFill>
            <w14:solidFill>
              <w14:schemeClr w14:val="tx1"/>
            </w14:solidFill>
          </w14:textFill>
        </w:rPr>
      </w:pPr>
    </w:p>
    <w:p w14:paraId="24D7A2D2">
      <w:pPr>
        <w:topLinePunct/>
        <w:jc w:val="center"/>
        <w:rPr>
          <w:rFonts w:ascii="Times New Roman" w:hAnsi="Times New Roman"/>
          <w:color w:val="000000" w:themeColor="text1"/>
          <w:highlight w:val="none"/>
          <w14:textFill>
            <w14:solidFill>
              <w14:schemeClr w14:val="tx1"/>
            </w14:solidFill>
          </w14:textFill>
        </w:rPr>
      </w:pPr>
    </w:p>
    <w:p w14:paraId="0A040FD3">
      <w:pPr>
        <w:topLinePunct/>
        <w:jc w:val="center"/>
        <w:rPr>
          <w:rFonts w:ascii="Times New Roman" w:hAnsi="Times New Roman"/>
          <w:color w:val="000000" w:themeColor="text1"/>
          <w:highlight w:val="none"/>
          <w14:textFill>
            <w14:solidFill>
              <w14:schemeClr w14:val="tx1"/>
            </w14:solidFill>
          </w14:textFill>
        </w:rPr>
      </w:pPr>
    </w:p>
    <w:p w14:paraId="6DCEBDCD">
      <w:pPr>
        <w:topLinePunct/>
        <w:jc w:val="left"/>
        <w:rPr>
          <w:rFonts w:ascii="Times New Roman" w:hAnsi="Times New Roman" w:eastAsia="黑体" w:cs="黑体"/>
          <w:color w:val="000000" w:themeColor="text1"/>
          <w:highlight w:val="none"/>
          <w14:textFill>
            <w14:solidFill>
              <w14:schemeClr w14:val="tx1"/>
            </w14:solidFill>
          </w14:textFill>
        </w:rPr>
      </w:pPr>
      <w:r>
        <w:rPr>
          <w:rFonts w:hint="eastAsia" w:ascii="Times New Roman" w:hAnsi="Times New Roman" w:eastAsia="黑体" w:cs="黑体"/>
          <w:color w:val="000000" w:themeColor="text1"/>
          <w:highlight w:val="none"/>
          <w14:textFill>
            <w14:solidFill>
              <w14:schemeClr w14:val="tx1"/>
            </w14:solidFill>
          </w14:textFill>
        </w:rPr>
        <w:t>ICS 27.01</w:t>
      </w:r>
    </w:p>
    <w:p w14:paraId="54A0371E">
      <w:pPr>
        <w:topLinePunct/>
        <w:jc w:val="left"/>
        <w:rPr>
          <w:rFonts w:ascii="Times New Roman" w:hAnsi="Times New Roman" w:eastAsia="黑体" w:cs="黑体"/>
          <w:color w:val="000000" w:themeColor="text1"/>
          <w:highlight w:val="none"/>
          <w14:textFill>
            <w14:solidFill>
              <w14:schemeClr w14:val="tx1"/>
            </w14:solidFill>
          </w14:textFill>
        </w:rPr>
      </w:pPr>
      <w:r>
        <w:rPr>
          <w:rFonts w:hint="eastAsia" w:ascii="Times New Roman" w:hAnsi="Times New Roman" w:eastAsia="黑体" w:cs="黑体"/>
          <w:color w:val="000000" w:themeColor="text1"/>
          <w:highlight w:val="none"/>
          <w14:textFill>
            <w14:solidFill>
              <w14:schemeClr w14:val="tx1"/>
            </w14:solidFill>
          </w14:textFill>
        </w:rPr>
        <w:t>CCS F</w:t>
      </w:r>
    </w:p>
    <w:p w14:paraId="78B0C16E">
      <w:pPr>
        <w:topLinePunct/>
        <w:jc w:val="left"/>
        <w:rPr>
          <w:rFonts w:ascii="Times New Roman" w:hAnsi="Times New Roman"/>
          <w:color w:val="000000" w:themeColor="text1"/>
          <w:highlight w:val="none"/>
          <w14:textFill>
            <w14:solidFill>
              <w14:schemeClr w14:val="tx1"/>
            </w14:solidFill>
          </w14:textFill>
        </w:rPr>
      </w:pPr>
    </w:p>
    <w:p w14:paraId="762863F7">
      <w:pPr>
        <w:jc w:val="center"/>
        <w:rPr>
          <w:rFonts w:ascii="Times New Roman" w:hAnsi="Times New Roman"/>
          <w:b/>
          <w:bCs/>
          <w:color w:val="000000" w:themeColor="text1"/>
          <w:sz w:val="48"/>
          <w:szCs w:val="48"/>
          <w:highlight w:val="none"/>
          <w14:textFill>
            <w14:solidFill>
              <w14:schemeClr w14:val="tx1"/>
            </w14:solidFill>
          </w14:textFill>
        </w:rPr>
      </w:pPr>
      <w:r>
        <w:rPr>
          <w:rFonts w:hint="eastAsia" w:ascii="Times New Roman" w:hAnsi="Times New Roman"/>
          <w:b/>
          <w:bCs/>
          <w:color w:val="000000" w:themeColor="text1"/>
          <w:spacing w:val="792"/>
          <w:kern w:val="0"/>
          <w:sz w:val="72"/>
          <w:szCs w:val="72"/>
          <w:highlight w:val="none"/>
          <w:fitText w:val="7632" w:id="971244995"/>
          <w14:textFill>
            <w14:solidFill>
              <w14:schemeClr w14:val="tx1"/>
            </w14:solidFill>
          </w14:textFill>
        </w:rPr>
        <w:t>团体标</w:t>
      </w:r>
      <w:r>
        <w:rPr>
          <w:rFonts w:hint="eastAsia" w:ascii="Times New Roman" w:hAnsi="Times New Roman"/>
          <w:b/>
          <w:bCs/>
          <w:color w:val="000000" w:themeColor="text1"/>
          <w:spacing w:val="0"/>
          <w:kern w:val="0"/>
          <w:sz w:val="72"/>
          <w:szCs w:val="72"/>
          <w:highlight w:val="none"/>
          <w:fitText w:val="7632" w:id="971244995"/>
          <w14:textFill>
            <w14:solidFill>
              <w14:schemeClr w14:val="tx1"/>
            </w14:solidFill>
          </w14:textFill>
        </w:rPr>
        <w:t>准</w:t>
      </w:r>
    </w:p>
    <w:p w14:paraId="732F365C">
      <w:pPr>
        <w:jc w:val="right"/>
        <w:rPr>
          <w:rFonts w:ascii="Times New Roman" w:hAnsi="Times New Roman" w:eastAsia="黑体" w:cs="Times New Roman"/>
          <w:bCs/>
          <w:color w:val="000000" w:themeColor="text1"/>
          <w:szCs w:val="21"/>
          <w:highlight w:val="none"/>
          <w14:textFill>
            <w14:solidFill>
              <w14:schemeClr w14:val="tx1"/>
            </w14:solidFill>
          </w14:textFill>
        </w:rPr>
      </w:pPr>
      <w:r>
        <w:rPr>
          <w:rFonts w:ascii="Times New Roman" w:hAnsi="Times New Roman" w:eastAsia="黑体" w:cs="Times New Roman"/>
          <w:bCs/>
          <w:color w:val="000000" w:themeColor="text1"/>
          <w:szCs w:val="21"/>
          <w:highlight w:val="none"/>
          <w14:textFill>
            <w14:solidFill>
              <w14:schemeClr w14:val="tx1"/>
            </w14:solidFill>
          </w14:textFill>
        </w:rPr>
        <w:t>T/SDL X.Y--202</w:t>
      </w:r>
      <w:r>
        <w:rPr>
          <w:rFonts w:hint="eastAsia" w:ascii="Times New Roman" w:hAnsi="Times New Roman" w:eastAsia="黑体" w:cs="Times New Roman"/>
          <w:bCs/>
          <w:color w:val="000000" w:themeColor="text1"/>
          <w:szCs w:val="21"/>
          <w:highlight w:val="none"/>
          <w14:textFill>
            <w14:solidFill>
              <w14:schemeClr w14:val="tx1"/>
            </w14:solidFill>
          </w14:textFill>
        </w:rPr>
        <w:t>6</w:t>
      </w:r>
    </w:p>
    <w:p w14:paraId="2E552A7C">
      <w:pPr>
        <w:spacing w:before="156" w:beforeLines="50" w:line="600" w:lineRule="exact"/>
        <w:jc w:val="center"/>
        <w:rPr>
          <w:rFonts w:ascii="Times New Roman" w:hAnsi="Times New Roman"/>
          <w:color w:val="000000" w:themeColor="text1"/>
          <w:spacing w:val="20"/>
          <w:sz w:val="52"/>
          <w:szCs w:val="52"/>
          <w:highlight w:val="none"/>
          <w14:textFill>
            <w14:solidFill>
              <w14:schemeClr w14:val="tx1"/>
            </w14:solidFill>
          </w14:textFill>
        </w:rPr>
      </w:pPr>
      <w:r>
        <w:rPr>
          <w:rFonts w:ascii="Times New Roman" w:hAnsi="Times New Roman" w:eastAsia="黑体" w:cs="黑体"/>
          <w:color w:val="000000" w:themeColor="text1"/>
          <w:sz w:val="28"/>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-173355</wp:posOffset>
                </wp:positionH>
                <wp:positionV relativeFrom="page">
                  <wp:posOffset>3505835</wp:posOffset>
                </wp:positionV>
                <wp:extent cx="5694680" cy="3810"/>
                <wp:effectExtent l="0" t="0" r="0" b="0"/>
                <wp:wrapSquare wrapText="bothSides"/>
                <wp:docPr id="3" name="直线 1229"/>
                <wp:cNvGraphicFramePr/>
                <a:graphic xmlns:a="http://schemas.openxmlformats.org/drawingml/2006/main">
                  <a:graphicData uri="http://schemas.microsoft.com/office/word/2010/wordprocessingShape">
                    <wps:wsp>
                      <wps:cNvCnPr/>
                      <wps:spPr>
                        <a:xfrm flipH="1" flipV="1">
                          <a:off x="0" y="0"/>
                          <a:ext cx="5694680" cy="3810"/>
                        </a:xfrm>
                        <a:prstGeom prst="line">
                          <a:avLst/>
                        </a:prstGeom>
                        <a:ln w="15240" cap="flat" cmpd="sng">
                          <a:solidFill>
                            <a:srgbClr val="000000"/>
                          </a:solidFill>
                          <a:prstDash val="solid"/>
                          <a:headEnd type="none" w="med" len="med"/>
                          <a:tailEnd type="none" w="med" len="med"/>
                        </a:ln>
                        <a:effectLst/>
                      </wps:spPr>
                      <wps:bodyPr/>
                    </wps:wsp>
                  </a:graphicData>
                </a:graphic>
              </wp:anchor>
            </w:drawing>
          </mc:Choice>
          <mc:Fallback>
            <w:pict>
              <v:line id="直线 1229" o:spid="_x0000_s1026" o:spt="20" style="position:absolute;left:0pt;flip:x y;margin-left:-13.65pt;margin-top:276.05pt;height:0.3pt;width:448.4pt;mso-position-vertical-relative:page;mso-wrap-distance-bottom:0pt;mso-wrap-distance-left:9pt;mso-wrap-distance-right:9pt;mso-wrap-distance-top:0pt;z-index:251660288;mso-width-relative:page;mso-height-relative:page;" filled="f" stroked="t" coordsize="21600,21600" o:gfxdata="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fCLXNgAAAALAQAADwAAAAAAAAABACAAAAAiAAAAZHJzL2Rvd25yZXYueG1s&#10;UEsBAhQAFAAAAAgAh07iQHhvfgr4AQAA+AMAAA4AAAAAAAAAAQAgAAAAJwEAAGRycy9lMm9Eb2Mu&#10;eG1sUEsFBgAAAAAGAAYAWQEAAJEFAAAAAA==&#10;">
                <v:fill on="f" focussize="0,0"/>
                <v:stroke weight="1.2pt" color="#000000" joinstyle="round"/>
                <v:imagedata o:title=""/>
                <o:lock v:ext="edit" aspectratio="f"/>
                <w10:wrap type="square"/>
              </v:line>
            </w:pict>
          </mc:Fallback>
        </mc:AlternateContent>
      </w:r>
    </w:p>
    <w:p w14:paraId="29F2EDB5">
      <w:pPr>
        <w:spacing w:before="156" w:beforeLines="50" w:line="600" w:lineRule="exact"/>
        <w:jc w:val="center"/>
        <w:rPr>
          <w:rFonts w:ascii="Times New Roman" w:hAnsi="Times New Roman"/>
          <w:color w:val="000000" w:themeColor="text1"/>
          <w:spacing w:val="20"/>
          <w:sz w:val="52"/>
          <w:szCs w:val="52"/>
          <w:highlight w:val="none"/>
          <w14:textFill>
            <w14:solidFill>
              <w14:schemeClr w14:val="tx1"/>
            </w14:solidFill>
          </w14:textFill>
        </w:rPr>
      </w:pPr>
    </w:p>
    <w:p w14:paraId="066582F0">
      <w:pPr>
        <w:spacing w:before="156" w:beforeLines="50" w:line="600" w:lineRule="exact"/>
        <w:jc w:val="center"/>
        <w:rPr>
          <w:rFonts w:ascii="Times New Roman" w:hAnsi="Times New Roman"/>
          <w:color w:val="000000" w:themeColor="text1"/>
          <w:spacing w:val="20"/>
          <w:sz w:val="52"/>
          <w:szCs w:val="52"/>
          <w:highlight w:val="none"/>
          <w14:textFill>
            <w14:solidFill>
              <w14:schemeClr w14:val="tx1"/>
            </w14:solidFill>
          </w14:textFill>
        </w:rPr>
      </w:pPr>
    </w:p>
    <w:p w14:paraId="01B2E542">
      <w:pPr>
        <w:spacing w:before="156" w:beforeLines="50" w:line="600" w:lineRule="exact"/>
        <w:jc w:val="center"/>
        <w:outlineLvl w:val="0"/>
        <w:rPr>
          <w:rFonts w:ascii="Times New Roman" w:hAnsi="Times New Roman" w:eastAsia="方正小标宋_GBK" w:cs="方正小标宋_GBK"/>
          <w:color w:val="000000" w:themeColor="text1"/>
          <w:spacing w:val="20"/>
          <w:sz w:val="44"/>
          <w:szCs w:val="44"/>
          <w:highlight w:val="none"/>
          <w14:textFill>
            <w14:solidFill>
              <w14:schemeClr w14:val="tx1"/>
            </w14:solidFill>
          </w14:textFill>
        </w:rPr>
      </w:pPr>
      <w:bookmarkStart w:id="0" w:name="_Toc2553"/>
      <w:bookmarkStart w:id="1" w:name="_Toc19438"/>
      <w:bookmarkStart w:id="2" w:name="_Toc27074"/>
      <w:bookmarkStart w:id="3" w:name="_Toc23059"/>
      <w:bookmarkStart w:id="4" w:name="_Toc17731"/>
      <w:bookmarkStart w:id="5" w:name="_Toc19594"/>
      <w:bookmarkStart w:id="6" w:name="_Toc22574"/>
      <w:r>
        <w:rPr>
          <w:rFonts w:hint="eastAsia" w:ascii="Times New Roman" w:hAnsi="Times New Roman" w:eastAsia="方正小标宋_GBK" w:cs="方正小标宋_GBK"/>
          <w:color w:val="000000" w:themeColor="text1"/>
          <w:spacing w:val="20"/>
          <w:sz w:val="44"/>
          <w:szCs w:val="44"/>
          <w:highlight w:val="none"/>
          <w14:textFill>
            <w14:solidFill>
              <w14:schemeClr w14:val="tx1"/>
            </w14:solidFill>
          </w14:textFill>
        </w:rPr>
        <w:t>深圳220kV及以上电网电气计算规范</w:t>
      </w:r>
      <w:bookmarkEnd w:id="0"/>
      <w:bookmarkEnd w:id="1"/>
      <w:bookmarkEnd w:id="2"/>
      <w:bookmarkEnd w:id="3"/>
      <w:bookmarkEnd w:id="4"/>
      <w:bookmarkEnd w:id="5"/>
      <w:bookmarkEnd w:id="6"/>
    </w:p>
    <w:p w14:paraId="1375B980">
      <w:pPr>
        <w:jc w:val="center"/>
        <w:outlineLvl w:val="0"/>
        <w:rPr>
          <w:rFonts w:ascii="Times New Roman" w:hAnsi="Times New Roman" w:eastAsia="方正小标宋_GBK" w:cs="方正小标宋_GBK"/>
          <w:color w:val="000000" w:themeColor="text1"/>
          <w:sz w:val="36"/>
          <w:szCs w:val="36"/>
          <w:highlight w:val="none"/>
          <w14:textFill>
            <w14:solidFill>
              <w14:schemeClr w14:val="tx1"/>
            </w14:solidFill>
          </w14:textFill>
        </w:rPr>
      </w:pPr>
      <w:bookmarkStart w:id="7" w:name="_Toc10722"/>
      <w:bookmarkStart w:id="8" w:name="_Toc11226"/>
      <w:bookmarkStart w:id="9" w:name="_Toc8448"/>
      <w:bookmarkStart w:id="10" w:name="_Toc24539"/>
      <w:bookmarkStart w:id="11" w:name="_Toc19190"/>
      <w:bookmarkStart w:id="12" w:name="_Toc8427"/>
      <w:bookmarkStart w:id="13" w:name="_Toc15350"/>
      <w:r>
        <w:rPr>
          <w:rFonts w:hint="eastAsia" w:ascii="Times New Roman" w:hAnsi="Times New Roman" w:eastAsia="方正小标宋_GBK" w:cs="方正小标宋_GBK"/>
          <w:color w:val="000000" w:themeColor="text1"/>
          <w:sz w:val="36"/>
          <w:szCs w:val="36"/>
          <w:highlight w:val="none"/>
          <w14:textFill>
            <w14:solidFill>
              <w14:schemeClr w14:val="tx1"/>
            </w14:solidFill>
          </w14:textFill>
        </w:rPr>
        <w:t>Shenzhen Electrical Calculation Specification for 220kV and Above Power Grid</w:t>
      </w:r>
      <w:bookmarkEnd w:id="7"/>
      <w:bookmarkEnd w:id="8"/>
      <w:bookmarkEnd w:id="9"/>
      <w:bookmarkEnd w:id="10"/>
      <w:bookmarkEnd w:id="11"/>
      <w:bookmarkEnd w:id="12"/>
      <w:bookmarkEnd w:id="13"/>
    </w:p>
    <w:p w14:paraId="54A1F6B2">
      <w:pPr>
        <w:jc w:val="center"/>
        <w:rPr>
          <w:rFonts w:ascii="Times New Roman" w:hAnsi="Times New Roman" w:eastAsia="方正小标宋_GBK" w:cs="方正小标宋_GBK"/>
          <w:bCs/>
          <w:color w:val="000000" w:themeColor="text1"/>
          <w:sz w:val="32"/>
          <w:szCs w:val="32"/>
          <w:highlight w:val="none"/>
          <w14:textFill>
            <w14:solidFill>
              <w14:schemeClr w14:val="tx1"/>
            </w14:solidFill>
          </w14:textFill>
        </w:rPr>
      </w:pPr>
      <w:r>
        <w:rPr>
          <w:rFonts w:hint="eastAsia" w:ascii="Times New Roman" w:hAnsi="Times New Roman" w:eastAsia="方正小标宋_GBK" w:cs="方正小标宋_GBK"/>
          <w:bCs/>
          <w:color w:val="000000" w:themeColor="text1"/>
          <w:sz w:val="32"/>
          <w:szCs w:val="32"/>
          <w:highlight w:val="none"/>
          <w14:textFill>
            <w14:solidFill>
              <w14:schemeClr w14:val="tx1"/>
            </w14:solidFill>
          </w14:textFill>
        </w:rPr>
        <w:t>（</w:t>
      </w:r>
      <w:r>
        <w:rPr>
          <w:rFonts w:hint="eastAsia" w:ascii="Times New Roman" w:hAnsi="Times New Roman" w:eastAsia="方正小标宋_GBK" w:cs="方正小标宋_GBK"/>
          <w:bCs/>
          <w:color w:val="000000" w:themeColor="text1"/>
          <w:sz w:val="32"/>
          <w:szCs w:val="32"/>
          <w:highlight w:val="none"/>
          <w:lang w:val="en-US" w:eastAsia="zh-CN"/>
          <w14:textFill>
            <w14:solidFill>
              <w14:schemeClr w14:val="tx1"/>
            </w14:solidFill>
          </w14:textFill>
        </w:rPr>
        <w:t>征求意见</w:t>
      </w:r>
      <w:r>
        <w:rPr>
          <w:rFonts w:hint="eastAsia" w:ascii="Times New Roman" w:hAnsi="Times New Roman" w:eastAsia="方正小标宋_GBK" w:cs="方正小标宋_GBK"/>
          <w:bCs/>
          <w:color w:val="000000" w:themeColor="text1"/>
          <w:sz w:val="32"/>
          <w:szCs w:val="32"/>
          <w:highlight w:val="none"/>
          <w14:textFill>
            <w14:solidFill>
              <w14:schemeClr w14:val="tx1"/>
            </w14:solidFill>
          </w14:textFill>
        </w:rPr>
        <w:t>稿</w:t>
      </w:r>
      <w:bookmarkStart w:id="27" w:name="_GoBack"/>
      <w:bookmarkEnd w:id="27"/>
      <w:r>
        <w:rPr>
          <w:rFonts w:hint="eastAsia" w:ascii="Times New Roman" w:hAnsi="Times New Roman" w:eastAsia="方正小标宋_GBK" w:cs="方正小标宋_GBK"/>
          <w:bCs/>
          <w:color w:val="000000" w:themeColor="text1"/>
          <w:sz w:val="32"/>
          <w:szCs w:val="32"/>
          <w:highlight w:val="none"/>
          <w14:textFill>
            <w14:solidFill>
              <w14:schemeClr w14:val="tx1"/>
            </w14:solidFill>
          </w14:textFill>
        </w:rPr>
        <w:t>）</w:t>
      </w:r>
    </w:p>
    <w:p w14:paraId="0C68DB90">
      <w:pPr>
        <w:spacing w:before="156" w:beforeLines="50"/>
        <w:jc w:val="center"/>
        <w:rPr>
          <w:rFonts w:ascii="Times New Roman" w:hAnsi="Times New Roman"/>
          <w:b/>
          <w:color w:val="000000" w:themeColor="text1"/>
          <w:szCs w:val="21"/>
          <w:highlight w:val="none"/>
          <w14:textFill>
            <w14:solidFill>
              <w14:schemeClr w14:val="tx1"/>
            </w14:solidFill>
          </w14:textFill>
        </w:rPr>
      </w:pPr>
    </w:p>
    <w:p w14:paraId="12DFAAE0">
      <w:pPr>
        <w:jc w:val="center"/>
        <w:rPr>
          <w:rFonts w:ascii="Times New Roman" w:hAnsi="Times New Roman"/>
          <w:b/>
          <w:color w:val="000000" w:themeColor="text1"/>
          <w:szCs w:val="21"/>
          <w:highlight w:val="none"/>
          <w14:textFill>
            <w14:solidFill>
              <w14:schemeClr w14:val="tx1"/>
            </w14:solidFill>
          </w14:textFill>
        </w:rPr>
      </w:pPr>
    </w:p>
    <w:p w14:paraId="42D7BAFF">
      <w:pPr>
        <w:jc w:val="center"/>
        <w:rPr>
          <w:rFonts w:ascii="Times New Roman" w:hAnsi="Times New Roman"/>
          <w:b/>
          <w:color w:val="000000" w:themeColor="text1"/>
          <w:szCs w:val="21"/>
          <w:highlight w:val="none"/>
          <w14:textFill>
            <w14:solidFill>
              <w14:schemeClr w14:val="tx1"/>
            </w14:solidFill>
          </w14:textFill>
        </w:rPr>
      </w:pPr>
    </w:p>
    <w:p w14:paraId="747419BD">
      <w:pPr>
        <w:jc w:val="center"/>
        <w:rPr>
          <w:rFonts w:ascii="Times New Roman" w:hAnsi="Times New Roman"/>
          <w:b/>
          <w:color w:val="000000" w:themeColor="text1"/>
          <w:szCs w:val="21"/>
          <w:highlight w:val="none"/>
          <w14:textFill>
            <w14:solidFill>
              <w14:schemeClr w14:val="tx1"/>
            </w14:solidFill>
          </w14:textFill>
        </w:rPr>
      </w:pPr>
    </w:p>
    <w:p w14:paraId="52349C78">
      <w:pPr>
        <w:jc w:val="center"/>
        <w:rPr>
          <w:rFonts w:ascii="Times New Roman" w:hAnsi="Times New Roman"/>
          <w:b/>
          <w:color w:val="000000" w:themeColor="text1"/>
          <w:szCs w:val="21"/>
          <w:highlight w:val="none"/>
          <w14:textFill>
            <w14:solidFill>
              <w14:schemeClr w14:val="tx1"/>
            </w14:solidFill>
          </w14:textFill>
        </w:rPr>
      </w:pPr>
    </w:p>
    <w:p w14:paraId="2E94887C">
      <w:pPr>
        <w:jc w:val="center"/>
        <w:rPr>
          <w:rFonts w:ascii="Times New Roman" w:hAnsi="Times New Roman"/>
          <w:b/>
          <w:color w:val="000000" w:themeColor="text1"/>
          <w:szCs w:val="21"/>
          <w:highlight w:val="none"/>
          <w14:textFill>
            <w14:solidFill>
              <w14:schemeClr w14:val="tx1"/>
            </w14:solidFill>
          </w14:textFill>
        </w:rPr>
      </w:pPr>
    </w:p>
    <w:p w14:paraId="5A290F45">
      <w:pPr>
        <w:rPr>
          <w:rFonts w:ascii="Times New Roman" w:hAnsi="Times New Roman"/>
          <w:b/>
          <w:color w:val="000000" w:themeColor="text1"/>
          <w:szCs w:val="21"/>
          <w:highlight w:val="none"/>
          <w14:textFill>
            <w14:solidFill>
              <w14:schemeClr w14:val="tx1"/>
            </w14:solidFill>
          </w14:textFill>
        </w:rPr>
      </w:pPr>
    </w:p>
    <w:p w14:paraId="79BB7E1F">
      <w:pPr>
        <w:tabs>
          <w:tab w:val="right" w:pos="9639"/>
        </w:tabs>
        <w:spacing w:before="360" w:line="320" w:lineRule="exact"/>
        <w:rPr>
          <w:rFonts w:ascii="Times New Roman" w:hAnsi="Times New Roman" w:eastAsia="黑体" w:cs="黑体"/>
          <w:color w:val="000000" w:themeColor="text1"/>
          <w:sz w:val="28"/>
          <w:highlight w:val="none"/>
          <w14:textFill>
            <w14:solidFill>
              <w14:schemeClr w14:val="tx1"/>
            </w14:solidFill>
          </w14:textFill>
        </w:rPr>
      </w:pPr>
      <w:r>
        <w:rPr>
          <w:rFonts w:hint="eastAsia" w:ascii="Times New Roman" w:hAnsi="Times New Roman" w:eastAsia="黑体" w:cs="黑体"/>
          <w:color w:val="000000" w:themeColor="text1"/>
          <w:sz w:val="28"/>
          <w:highlight w:val="none"/>
          <w14:textFill>
            <w14:solidFill>
              <w14:schemeClr w14:val="tx1"/>
            </w14:solidFill>
          </w14:textFill>
        </w:rPr>
        <w:t>2026-××-××发布                       2026-××-××实施</w:t>
      </w:r>
    </w:p>
    <w:p w14:paraId="175D56E3">
      <w:pPr>
        <w:tabs>
          <w:tab w:val="right" w:pos="9639"/>
        </w:tabs>
        <w:spacing w:before="120" w:line="400" w:lineRule="exact"/>
        <w:jc w:val="center"/>
        <w:rPr>
          <w:rFonts w:ascii="Times New Roman" w:hAnsi="Times New Roman" w:eastAsia="黑体" w:cs="黑体"/>
          <w:color w:val="000000" w:themeColor="text1"/>
          <w:sz w:val="28"/>
          <w:highlight w:val="none"/>
          <w14:textFill>
            <w14:solidFill>
              <w14:schemeClr w14:val="tx1"/>
            </w14:solidFill>
          </w14:textFill>
        </w:rPr>
        <w:sectPr>
          <w:headerReference r:id="rId3" w:type="default"/>
          <w:headerReference r:id="rId4" w:type="even"/>
          <w:footerReference r:id="rId5" w:type="even"/>
          <w:pgSz w:w="11906" w:h="16838"/>
          <w:pgMar w:top="1440" w:right="1803" w:bottom="1440" w:left="1803" w:header="851" w:footer="992" w:gutter="0"/>
          <w:pgNumType w:fmt="upperRoman" w:start="1"/>
          <w:cols w:space="425" w:num="1"/>
          <w:docGrid w:type="lines" w:linePitch="312" w:charSpace="0"/>
        </w:sectPr>
      </w:pPr>
      <w:r>
        <w:rPr>
          <w:rFonts w:ascii="Times New Roman" w:hAnsi="Times New Roman" w:eastAsia="黑体" w:cs="黑体"/>
          <w:color w:val="000000" w:themeColor="text1"/>
          <w:sz w:val="28"/>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ge">
                  <wp:posOffset>8544560</wp:posOffset>
                </wp:positionV>
                <wp:extent cx="5694680" cy="3810"/>
                <wp:effectExtent l="0" t="0" r="0" b="0"/>
                <wp:wrapSquare wrapText="bothSides"/>
                <wp:docPr id="4" name="直线 1229"/>
                <wp:cNvGraphicFramePr/>
                <a:graphic xmlns:a="http://schemas.openxmlformats.org/drawingml/2006/main">
                  <a:graphicData uri="http://schemas.microsoft.com/office/word/2010/wordprocessingShape">
                    <wps:wsp>
                      <wps:cNvCnPr/>
                      <wps:spPr>
                        <a:xfrm flipH="1" flipV="1">
                          <a:off x="0" y="0"/>
                          <a:ext cx="5694680" cy="3810"/>
                        </a:xfrm>
                        <a:prstGeom prst="line">
                          <a:avLst/>
                        </a:prstGeom>
                        <a:ln w="15240" cap="flat" cmpd="sng">
                          <a:solidFill>
                            <a:srgbClr val="000000"/>
                          </a:solidFill>
                          <a:prstDash val="solid"/>
                          <a:headEnd type="none" w="med" len="med"/>
                          <a:tailEnd type="none" w="med" len="med"/>
                        </a:ln>
                        <a:effectLst/>
                      </wps:spPr>
                      <wps:bodyPr/>
                    </wps:wsp>
                  </a:graphicData>
                </a:graphic>
              </wp:anchor>
            </w:drawing>
          </mc:Choice>
          <mc:Fallback>
            <w:pict>
              <v:line id="直线 1229" o:spid="_x0000_s1026" o:spt="20" style="position:absolute;left:0pt;flip:x y;margin-left:-13.65pt;margin-top:672.8pt;height:0.3pt;width:448.4pt;mso-position-vertical-relative:page;mso-wrap-distance-bottom:0pt;mso-wrap-distance-left:9pt;mso-wrap-distance-right:9pt;mso-wrap-distance-top:0pt;z-index:251659264;mso-width-relative:page;mso-height-relative:page;" filled="f" stroked="t" coordsize="21600,21600" o:gfxdata="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kfq8F2gAAAA0BAAAPAAAAAAAAAAEAIAAAACIAAABkcnMvZG93bnJldi54&#10;bWxQSwECFAAUAAAACACHTuJATCzdO/gBAAD4AwAADgAAAAAAAAABACAAAAApAQAAZHJzL2Uyb0Rv&#10;Yy54bWxQSwUGAAAAAAYABgBZAQAAkwUAAAAA&#10;">
                <v:fill on="f" focussize="0,0"/>
                <v:stroke weight="1.2pt" color="#000000" joinstyle="round"/>
                <v:imagedata o:title=""/>
                <o:lock v:ext="edit" aspectratio="f"/>
                <w10:wrap type="square"/>
              </v:line>
            </w:pict>
          </mc:Fallback>
        </mc:AlternateContent>
      </w:r>
      <w:r>
        <w:rPr>
          <w:rFonts w:hint="eastAsia" w:ascii="Times New Roman" w:hAnsi="Times New Roman" w:eastAsia="黑体" w:cs="黑体"/>
          <w:color w:val="000000" w:themeColor="text1"/>
          <w:spacing w:val="59"/>
          <w:kern w:val="0"/>
          <w:sz w:val="28"/>
          <w:highlight w:val="none"/>
          <w:fitText w:val="5040" w:id="1312510446"/>
          <w14:textFill>
            <w14:solidFill>
              <w14:schemeClr w14:val="tx1"/>
            </w14:solidFill>
          </w14:textFill>
        </w:rPr>
        <w:t>深圳市电力行业协会   发</w:t>
      </w:r>
      <w:r>
        <w:rPr>
          <w:rFonts w:hint="eastAsia" w:ascii="Times New Roman" w:hAnsi="Times New Roman" w:eastAsia="黑体" w:cs="黑体"/>
          <w:color w:val="000000" w:themeColor="text1"/>
          <w:spacing w:val="3"/>
          <w:kern w:val="0"/>
          <w:sz w:val="28"/>
          <w:highlight w:val="none"/>
          <w:fitText w:val="5040" w:id="1312510446"/>
          <w14:textFill>
            <w14:solidFill>
              <w14:schemeClr w14:val="tx1"/>
            </w14:solidFill>
          </w14:textFill>
        </w:rPr>
        <w:t>布</w:t>
      </w:r>
    </w:p>
    <w:p w14:paraId="408BD506">
      <w:pPr>
        <w:jc w:val="center"/>
        <w:rPr>
          <w:rFonts w:ascii="Times New Roman" w:hAnsi="Times New Roman" w:eastAsia="黑体" w:cs="黑体"/>
          <w:color w:val="000000" w:themeColor="text1"/>
          <w:sz w:val="32"/>
          <w:szCs w:val="40"/>
          <w:highlight w:val="none"/>
          <w14:textFill>
            <w14:solidFill>
              <w14:schemeClr w14:val="tx1"/>
            </w14:solidFill>
          </w14:textFill>
        </w:rPr>
      </w:pPr>
      <w:r>
        <w:rPr>
          <w:rFonts w:hint="eastAsia" w:ascii="Times New Roman" w:hAnsi="Times New Roman" w:eastAsia="黑体" w:cs="黑体"/>
          <w:color w:val="000000" w:themeColor="text1"/>
          <w:sz w:val="32"/>
          <w:szCs w:val="40"/>
          <w:highlight w:val="none"/>
          <w14:textFill>
            <w14:solidFill>
              <w14:schemeClr w14:val="tx1"/>
            </w14:solidFill>
          </w14:textFill>
        </w:rPr>
        <w:t xml:space="preserve">目 </w:t>
      </w:r>
      <w:r>
        <w:rPr>
          <w:rFonts w:ascii="Times New Roman" w:hAnsi="Times New Roman" w:eastAsia="黑体" w:cs="黑体"/>
          <w:color w:val="000000" w:themeColor="text1"/>
          <w:sz w:val="32"/>
          <w:szCs w:val="40"/>
          <w:highlight w:val="none"/>
          <w14:textFill>
            <w14:solidFill>
              <w14:schemeClr w14:val="tx1"/>
            </w14:solidFill>
          </w14:textFill>
        </w:rPr>
        <w:t xml:space="preserve">  </w:t>
      </w:r>
      <w:r>
        <w:rPr>
          <w:rFonts w:hint="eastAsia" w:ascii="Times New Roman" w:hAnsi="Times New Roman" w:eastAsia="黑体" w:cs="黑体"/>
          <w:color w:val="000000" w:themeColor="text1"/>
          <w:sz w:val="32"/>
          <w:szCs w:val="40"/>
          <w:highlight w:val="none"/>
          <w14:textFill>
            <w14:solidFill>
              <w14:schemeClr w14:val="tx1"/>
            </w14:solidFill>
          </w14:textFill>
        </w:rPr>
        <w:t>录</w:t>
      </w:r>
    </w:p>
    <w:sdt>
      <w:sdtPr>
        <w:rPr>
          <w:rFonts w:ascii="Times New Roman" w:hAnsi="Times New Roman" w:eastAsia="宋体"/>
          <w:color w:val="000000" w:themeColor="text1"/>
          <w:highlight w:val="none"/>
          <w14:textFill>
            <w14:solidFill>
              <w14:schemeClr w14:val="tx1"/>
            </w14:solidFill>
          </w14:textFill>
        </w:rPr>
        <w:id w:val="147473667"/>
        <w15:color w:val="DBDBDB"/>
        <w:docPartObj>
          <w:docPartGallery w:val="Table of Contents"/>
          <w:docPartUnique/>
        </w:docPartObj>
      </w:sdtPr>
      <w:sdtEndPr>
        <w:rPr>
          <w:rFonts w:hint="eastAsia" w:ascii="Times New Roman" w:hAnsi="Times New Roman" w:eastAsia="宋体" w:cs="宋体"/>
          <w:color w:val="000000" w:themeColor="text1"/>
          <w:szCs w:val="52"/>
          <w:highlight w:val="none"/>
          <w14:textFill>
            <w14:solidFill>
              <w14:schemeClr w14:val="tx1"/>
            </w14:solidFill>
          </w14:textFill>
        </w:rPr>
      </w:sdtEndPr>
      <w:sdtContent>
        <w:p w14:paraId="19C0CEFD">
          <w:pPr>
            <w:jc w:val="center"/>
            <w:rPr>
              <w:rFonts w:ascii="Times New Roman" w:hAnsi="Times New Roman"/>
              <w:color w:val="000000" w:themeColor="text1"/>
              <w:highlight w:val="none"/>
              <w14:textFill>
                <w14:solidFill>
                  <w14:schemeClr w14:val="tx1"/>
                </w14:solidFill>
              </w14:textFill>
            </w:rPr>
          </w:pPr>
        </w:p>
        <w:p w14:paraId="57A8562E">
          <w:pPr>
            <w:pStyle w:val="13"/>
            <w:tabs>
              <w:tab w:val="right" w:leader="dot" w:pos="8306"/>
            </w:tabs>
          </w:pPr>
          <w:r>
            <w:rPr>
              <w:rFonts w:hint="eastAsia" w:ascii="Times New Roman" w:hAnsi="Times New Roman" w:cs="宋体"/>
              <w:color w:val="000000" w:themeColor="text1"/>
              <w:sz w:val="21"/>
              <w:szCs w:val="52"/>
              <w:highlight w:val="none"/>
              <w14:textFill>
                <w14:solidFill>
                  <w14:schemeClr w14:val="tx1"/>
                </w14:solidFill>
              </w14:textFill>
            </w:rPr>
            <w:fldChar w:fldCharType="begin"/>
          </w:r>
          <w:r>
            <w:rPr>
              <w:rFonts w:hint="eastAsia" w:ascii="Times New Roman" w:hAnsi="Times New Roman" w:cs="宋体"/>
              <w:color w:val="000000" w:themeColor="text1"/>
              <w:sz w:val="21"/>
              <w:szCs w:val="52"/>
              <w:highlight w:val="none"/>
              <w14:textFill>
                <w14:solidFill>
                  <w14:schemeClr w14:val="tx1"/>
                </w14:solidFill>
              </w14:textFill>
            </w:rPr>
            <w:instrText xml:space="preserve">TOC \o "1-1" \h \u </w:instrText>
          </w:r>
          <w:r>
            <w:rPr>
              <w:rFonts w:hint="eastAsia" w:ascii="Times New Roman" w:hAnsi="Times New Roman" w:cs="宋体"/>
              <w:color w:val="000000" w:themeColor="text1"/>
              <w:sz w:val="21"/>
              <w:szCs w:val="52"/>
              <w:highlight w:val="none"/>
              <w14:textFill>
                <w14:solidFill>
                  <w14:schemeClr w14:val="tx1"/>
                </w14:solidFill>
              </w14:textFill>
            </w:rPr>
            <w:fldChar w:fldCharType="separate"/>
          </w:r>
          <w:r>
            <w:rPr>
              <w:rFonts w:hint="eastAsia" w:ascii="黑体" w:hAnsi="黑体" w:eastAsia="黑体" w:cs="黑体"/>
              <w:color w:val="000000" w:themeColor="text1"/>
              <w:szCs w:val="52"/>
              <w:highlight w:val="none"/>
              <w14:textFill>
                <w14:solidFill>
                  <w14:schemeClr w14:val="tx1"/>
                </w14:solidFill>
              </w14:textFill>
            </w:rPr>
            <w:fldChar w:fldCharType="begin"/>
          </w:r>
          <w:r>
            <w:rPr>
              <w:rFonts w:hint="eastAsia" w:ascii="黑体" w:hAnsi="黑体" w:eastAsia="黑体" w:cs="黑体"/>
              <w:szCs w:val="52"/>
              <w:highlight w:val="none"/>
            </w:rPr>
            <w:instrText xml:space="preserve"> HYPERLINK \l _Toc10922 </w:instrText>
          </w:r>
          <w:r>
            <w:rPr>
              <w:rFonts w:hint="eastAsia" w:ascii="黑体" w:hAnsi="黑体" w:eastAsia="黑体" w:cs="黑体"/>
              <w:szCs w:val="52"/>
              <w:highlight w:val="none"/>
            </w:rPr>
            <w:fldChar w:fldCharType="separate"/>
          </w:r>
          <w:r>
            <w:rPr>
              <w:rFonts w:hint="eastAsia" w:ascii="黑体" w:hAnsi="黑体" w:eastAsia="黑体" w:cs="黑体"/>
              <w:szCs w:val="28"/>
              <w:highlight w:val="none"/>
            </w:rPr>
            <w:t>前</w:t>
          </w:r>
          <w:r>
            <w:rPr>
              <w:rFonts w:hint="eastAsia" w:ascii="黑体" w:hAnsi="黑体" w:eastAsia="黑体" w:cs="黑体"/>
              <w:szCs w:val="28"/>
              <w:highlight w:val="none"/>
              <w:lang w:val="en-US" w:eastAsia="zh-CN"/>
            </w:rPr>
            <w:t xml:space="preserve">  </w:t>
          </w:r>
          <w:r>
            <w:rPr>
              <w:rFonts w:hint="eastAsia" w:ascii="黑体" w:hAnsi="黑体" w:eastAsia="黑体" w:cs="黑体"/>
              <w:szCs w:val="28"/>
              <w:highlight w:val="none"/>
            </w:rPr>
            <w:t>言</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_Toc10922 \h </w:instrText>
          </w:r>
          <w:r>
            <w:rPr>
              <w:rFonts w:hint="eastAsia" w:ascii="黑体" w:hAnsi="黑体" w:eastAsia="黑体" w:cs="黑体"/>
            </w:rPr>
            <w:fldChar w:fldCharType="separate"/>
          </w:r>
          <w:r>
            <w:rPr>
              <w:rFonts w:hint="eastAsia" w:ascii="黑体" w:hAnsi="黑体" w:eastAsia="黑体" w:cs="黑体"/>
            </w:rPr>
            <w:t>II</w:t>
          </w:r>
          <w:r>
            <w:rPr>
              <w:rFonts w:hint="eastAsia" w:ascii="黑体" w:hAnsi="黑体" w:eastAsia="黑体" w:cs="黑体"/>
            </w:rPr>
            <w:fldChar w:fldCharType="end"/>
          </w:r>
          <w:r>
            <w:rPr>
              <w:rFonts w:hint="eastAsia" w:ascii="黑体" w:hAnsi="黑体" w:eastAsia="黑体" w:cs="黑体"/>
              <w:color w:val="000000" w:themeColor="text1"/>
              <w:szCs w:val="52"/>
              <w:highlight w:val="none"/>
              <w14:textFill>
                <w14:solidFill>
                  <w14:schemeClr w14:val="tx1"/>
                </w14:solidFill>
              </w14:textFill>
            </w:rPr>
            <w:fldChar w:fldCharType="end"/>
          </w:r>
        </w:p>
        <w:p w14:paraId="6101F54C">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_Toc17748 </w:instrText>
          </w:r>
          <w:r>
            <w:rPr>
              <w:rFonts w:hint="eastAsia" w:ascii="Times New Roman" w:hAnsi="Times New Roman" w:eastAsia="宋体" w:cs="宋体"/>
              <w:szCs w:val="52"/>
              <w:highlight w:val="none"/>
            </w:rPr>
            <w:fldChar w:fldCharType="separate"/>
          </w:r>
          <w:r>
            <w:rPr>
              <w:rFonts w:hint="default" w:ascii="Times New Roman" w:hAnsi="Times New Roman" w:eastAsia="黑体" w:cs="黑体"/>
              <w:szCs w:val="28"/>
            </w:rPr>
            <w:t xml:space="preserve">1 </w:t>
          </w:r>
          <w:r>
            <w:rPr>
              <w:rFonts w:hint="eastAsia" w:ascii="Times New Roman" w:hAnsi="Times New Roman" w:eastAsia="黑体" w:cs="黑体"/>
              <w:szCs w:val="28"/>
              <w:highlight w:val="none"/>
            </w:rPr>
            <w:t xml:space="preserve">总 </w:t>
          </w:r>
          <w:r>
            <w:rPr>
              <w:rFonts w:ascii="Times New Roman" w:hAnsi="Times New Roman" w:eastAsia="黑体" w:cs="黑体"/>
              <w:szCs w:val="28"/>
              <w:highlight w:val="none"/>
            </w:rPr>
            <w:t xml:space="preserve">   </w:t>
          </w:r>
          <w:r>
            <w:rPr>
              <w:rFonts w:hint="eastAsia" w:ascii="Times New Roman" w:hAnsi="Times New Roman" w:eastAsia="黑体" w:cs="黑体"/>
              <w:szCs w:val="28"/>
              <w:highlight w:val="none"/>
            </w:rPr>
            <w:t>则</w:t>
          </w:r>
          <w:r>
            <w:tab/>
          </w:r>
          <w:r>
            <w:fldChar w:fldCharType="begin"/>
          </w:r>
          <w:r>
            <w:instrText xml:space="preserve"> PAGEREF _Toc17748 \h </w:instrText>
          </w:r>
          <w:r>
            <w:fldChar w:fldCharType="separate"/>
          </w:r>
          <w:r>
            <w:t>1</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4D82C304">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_Toc25460 </w:instrText>
          </w:r>
          <w:r>
            <w:rPr>
              <w:rFonts w:hint="eastAsia" w:ascii="Times New Roman" w:hAnsi="Times New Roman" w:eastAsia="宋体" w:cs="宋体"/>
              <w:szCs w:val="52"/>
              <w:highlight w:val="none"/>
            </w:rPr>
            <w:fldChar w:fldCharType="separate"/>
          </w:r>
          <w:r>
            <w:rPr>
              <w:rFonts w:hint="default" w:ascii="Times New Roman" w:hAnsi="Times New Roman" w:eastAsia="黑体" w:cs="黑体"/>
              <w:szCs w:val="28"/>
            </w:rPr>
            <w:t xml:space="preserve">2 </w:t>
          </w:r>
          <w:r>
            <w:rPr>
              <w:rFonts w:hint="eastAsia" w:ascii="Times New Roman" w:hAnsi="Times New Roman" w:eastAsia="黑体" w:cs="黑体"/>
              <w:szCs w:val="28"/>
              <w:highlight w:val="none"/>
            </w:rPr>
            <w:t xml:space="preserve">术 </w:t>
          </w:r>
          <w:r>
            <w:rPr>
              <w:rFonts w:ascii="Times New Roman" w:hAnsi="Times New Roman" w:eastAsia="黑体" w:cs="黑体"/>
              <w:szCs w:val="28"/>
              <w:highlight w:val="none"/>
            </w:rPr>
            <w:t xml:space="preserve">   </w:t>
          </w:r>
          <w:r>
            <w:rPr>
              <w:rFonts w:hint="eastAsia" w:ascii="Times New Roman" w:hAnsi="Times New Roman" w:eastAsia="黑体" w:cs="黑体"/>
              <w:szCs w:val="28"/>
              <w:highlight w:val="none"/>
            </w:rPr>
            <w:t>语</w:t>
          </w:r>
          <w:r>
            <w:tab/>
          </w:r>
          <w:r>
            <w:fldChar w:fldCharType="begin"/>
          </w:r>
          <w:r>
            <w:instrText xml:space="preserve"> PAGEREF _Toc25460 \h </w:instrText>
          </w:r>
          <w:r>
            <w:fldChar w:fldCharType="separate"/>
          </w:r>
          <w:r>
            <w:t>1</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3064A0EC">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_Toc5994 </w:instrText>
          </w:r>
          <w:r>
            <w:rPr>
              <w:rFonts w:hint="eastAsia" w:ascii="Times New Roman" w:hAnsi="Times New Roman" w:eastAsia="宋体" w:cs="宋体"/>
              <w:szCs w:val="52"/>
              <w:highlight w:val="none"/>
            </w:rPr>
            <w:fldChar w:fldCharType="separate"/>
          </w:r>
          <w:r>
            <w:rPr>
              <w:rFonts w:hint="default" w:ascii="Times New Roman" w:hAnsi="Times New Roman" w:eastAsia="黑体" w:cs="黑体"/>
              <w:szCs w:val="28"/>
            </w:rPr>
            <w:t xml:space="preserve">3 </w:t>
          </w:r>
          <w:r>
            <w:rPr>
              <w:rFonts w:hint="eastAsia" w:ascii="Times New Roman" w:hAnsi="Times New Roman" w:eastAsia="黑体" w:cs="黑体"/>
              <w:szCs w:val="28"/>
              <w:highlight w:val="none"/>
            </w:rPr>
            <w:t>基本规定</w:t>
          </w:r>
          <w:r>
            <w:tab/>
          </w:r>
          <w:r>
            <w:fldChar w:fldCharType="begin"/>
          </w:r>
          <w:r>
            <w:instrText xml:space="preserve"> PAGEREF _Toc5994 \h </w:instrText>
          </w:r>
          <w:r>
            <w:fldChar w:fldCharType="separate"/>
          </w:r>
          <w:r>
            <w:t>3</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54ADCA03">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_Toc1659 </w:instrText>
          </w:r>
          <w:r>
            <w:rPr>
              <w:rFonts w:hint="eastAsia" w:ascii="Times New Roman" w:hAnsi="Times New Roman" w:eastAsia="宋体" w:cs="宋体"/>
              <w:szCs w:val="52"/>
              <w:highlight w:val="none"/>
            </w:rPr>
            <w:fldChar w:fldCharType="separate"/>
          </w:r>
          <w:r>
            <w:rPr>
              <w:rFonts w:hint="default" w:ascii="Times New Roman" w:hAnsi="Times New Roman" w:eastAsia="黑体" w:cs="黑体"/>
              <w:szCs w:val="28"/>
            </w:rPr>
            <w:t xml:space="preserve">4 </w:t>
          </w:r>
          <w:r>
            <w:rPr>
              <w:rFonts w:hint="eastAsia" w:ascii="Times New Roman" w:hAnsi="Times New Roman" w:eastAsia="黑体" w:cs="黑体"/>
              <w:szCs w:val="28"/>
              <w:highlight w:val="none"/>
            </w:rPr>
            <w:t>计算数据</w:t>
          </w:r>
          <w:r>
            <w:tab/>
          </w:r>
          <w:r>
            <w:fldChar w:fldCharType="begin"/>
          </w:r>
          <w:r>
            <w:instrText xml:space="preserve"> PAGEREF _Toc1659 \h </w:instrText>
          </w:r>
          <w:r>
            <w:fldChar w:fldCharType="separate"/>
          </w:r>
          <w:r>
            <w:t>4</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205608E5">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_Toc13986 </w:instrText>
          </w:r>
          <w:r>
            <w:rPr>
              <w:rFonts w:hint="eastAsia" w:ascii="Times New Roman" w:hAnsi="Times New Roman" w:eastAsia="宋体" w:cs="宋体"/>
              <w:szCs w:val="52"/>
              <w:highlight w:val="none"/>
            </w:rPr>
            <w:fldChar w:fldCharType="separate"/>
          </w:r>
          <w:r>
            <w:rPr>
              <w:rFonts w:hint="default" w:ascii="Times New Roman" w:hAnsi="Times New Roman" w:eastAsia="黑体" w:cs="黑体"/>
              <w:szCs w:val="28"/>
            </w:rPr>
            <w:t xml:space="preserve">5 </w:t>
          </w:r>
          <w:r>
            <w:rPr>
              <w:rFonts w:hint="eastAsia" w:ascii="Times New Roman" w:hAnsi="Times New Roman" w:eastAsia="黑体" w:cs="黑体"/>
              <w:szCs w:val="28"/>
              <w:highlight w:val="none"/>
            </w:rPr>
            <w:t>潮流计算</w:t>
          </w:r>
          <w:r>
            <w:tab/>
          </w:r>
          <w:r>
            <w:fldChar w:fldCharType="begin"/>
          </w:r>
          <w:r>
            <w:instrText xml:space="preserve"> PAGEREF _Toc13986 \h </w:instrText>
          </w:r>
          <w:r>
            <w:fldChar w:fldCharType="separate"/>
          </w:r>
          <w:r>
            <w:t>5</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4D013C15">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_Toc5003 </w:instrText>
          </w:r>
          <w:r>
            <w:rPr>
              <w:rFonts w:hint="eastAsia" w:ascii="Times New Roman" w:hAnsi="Times New Roman" w:eastAsia="宋体" w:cs="宋体"/>
              <w:szCs w:val="52"/>
              <w:highlight w:val="none"/>
            </w:rPr>
            <w:fldChar w:fldCharType="separate"/>
          </w:r>
          <w:r>
            <w:rPr>
              <w:rFonts w:hint="default" w:ascii="Times New Roman" w:hAnsi="Times New Roman" w:eastAsia="黑体" w:cs="黑体"/>
              <w:szCs w:val="28"/>
            </w:rPr>
            <w:t xml:space="preserve">6 </w:t>
          </w:r>
          <w:r>
            <w:rPr>
              <w:rFonts w:hint="eastAsia" w:ascii="Times New Roman" w:hAnsi="Times New Roman" w:eastAsia="黑体" w:cs="黑体"/>
              <w:szCs w:val="28"/>
              <w:highlight w:val="none"/>
            </w:rPr>
            <w:t>短路电流计算</w:t>
          </w:r>
          <w:r>
            <w:tab/>
          </w:r>
          <w:r>
            <w:fldChar w:fldCharType="begin"/>
          </w:r>
          <w:r>
            <w:instrText xml:space="preserve"> PAGEREF _Toc5003 \h </w:instrText>
          </w:r>
          <w:r>
            <w:fldChar w:fldCharType="separate"/>
          </w:r>
          <w:r>
            <w:t>6</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25D55D5B">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_Toc17503 </w:instrText>
          </w:r>
          <w:r>
            <w:rPr>
              <w:rFonts w:hint="eastAsia" w:ascii="Times New Roman" w:hAnsi="Times New Roman" w:eastAsia="宋体" w:cs="宋体"/>
              <w:szCs w:val="52"/>
              <w:highlight w:val="none"/>
            </w:rPr>
            <w:fldChar w:fldCharType="separate"/>
          </w:r>
          <w:r>
            <w:rPr>
              <w:rFonts w:hint="default" w:ascii="Times New Roman" w:hAnsi="Times New Roman" w:eastAsia="黑体" w:cs="黑体"/>
              <w:szCs w:val="28"/>
            </w:rPr>
            <w:t xml:space="preserve">7 </w:t>
          </w:r>
          <w:r>
            <w:rPr>
              <w:rFonts w:hint="eastAsia" w:ascii="Times New Roman" w:hAnsi="Times New Roman" w:eastAsia="黑体" w:cs="黑体"/>
              <w:szCs w:val="28"/>
              <w:highlight w:val="none"/>
            </w:rPr>
            <w:t>稳定计算</w:t>
          </w:r>
          <w:r>
            <w:tab/>
          </w:r>
          <w:r>
            <w:fldChar w:fldCharType="begin"/>
          </w:r>
          <w:r>
            <w:instrText xml:space="preserve"> PAGEREF _Toc17503 \h </w:instrText>
          </w:r>
          <w:r>
            <w:fldChar w:fldCharType="separate"/>
          </w:r>
          <w:r>
            <w:t>8</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737AAF86">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_Toc27686 </w:instrText>
          </w:r>
          <w:r>
            <w:rPr>
              <w:rFonts w:hint="eastAsia" w:ascii="Times New Roman" w:hAnsi="Times New Roman" w:eastAsia="宋体" w:cs="宋体"/>
              <w:szCs w:val="52"/>
              <w:highlight w:val="none"/>
            </w:rPr>
            <w:fldChar w:fldCharType="separate"/>
          </w:r>
          <w:r>
            <w:rPr>
              <w:rFonts w:hint="default" w:ascii="Times New Roman" w:hAnsi="Times New Roman" w:cs="Times New Roman"/>
              <w:szCs w:val="28"/>
            </w:rPr>
            <w:t xml:space="preserve">8 </w:t>
          </w:r>
          <w:r>
            <w:rPr>
              <w:rFonts w:hint="eastAsia" w:ascii="Times New Roman" w:hAnsi="Times New Roman" w:eastAsia="黑体" w:cs="黑体"/>
              <w:szCs w:val="28"/>
              <w:highlight w:val="none"/>
            </w:rPr>
            <w:t>无功补偿计算</w:t>
          </w:r>
          <w:r>
            <w:tab/>
          </w:r>
          <w:r>
            <w:fldChar w:fldCharType="begin"/>
          </w:r>
          <w:r>
            <w:instrText xml:space="preserve"> PAGEREF _Toc27686 \h </w:instrText>
          </w:r>
          <w:r>
            <w:fldChar w:fldCharType="separate"/>
          </w:r>
          <w:r>
            <w:t>12</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7C6CDF6E">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_Toc21309 </w:instrText>
          </w:r>
          <w:r>
            <w:rPr>
              <w:rFonts w:hint="eastAsia" w:ascii="Times New Roman" w:hAnsi="Times New Roman" w:eastAsia="宋体" w:cs="宋体"/>
              <w:szCs w:val="52"/>
              <w:highlight w:val="none"/>
            </w:rPr>
            <w:fldChar w:fldCharType="separate"/>
          </w:r>
          <w:r>
            <w:rPr>
              <w:rFonts w:hint="default" w:ascii="Times New Roman" w:hAnsi="Times New Roman" w:cs="Times New Roman"/>
              <w:szCs w:val="28"/>
            </w:rPr>
            <w:t xml:space="preserve">9 </w:t>
          </w:r>
          <w:r>
            <w:rPr>
              <w:rFonts w:hint="eastAsia" w:ascii="Times New Roman" w:hAnsi="Times New Roman" w:eastAsia="黑体" w:cs="黑体"/>
              <w:szCs w:val="28"/>
              <w:highlight w:val="none"/>
            </w:rPr>
            <w:t>调相调压计算</w:t>
          </w:r>
          <w:r>
            <w:tab/>
          </w:r>
          <w:r>
            <w:fldChar w:fldCharType="begin"/>
          </w:r>
          <w:r>
            <w:instrText xml:space="preserve"> PAGEREF _Toc21309 \h </w:instrText>
          </w:r>
          <w:r>
            <w:fldChar w:fldCharType="separate"/>
          </w:r>
          <w:r>
            <w:t>15</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137B1F64">
          <w:pPr>
            <w:pStyle w:val="13"/>
            <w:tabs>
              <w:tab w:val="right" w:leader="dot" w:pos="8306"/>
            </w:tabs>
          </w:pPr>
          <w:r>
            <w:rPr>
              <w:rFonts w:hint="eastAsia" w:ascii="Times New Roman" w:hAnsi="Times New Roman" w:eastAsia="宋体" w:cs="宋体"/>
              <w:color w:val="000000" w:themeColor="text1"/>
              <w:szCs w:val="52"/>
              <w:highlight w:val="none"/>
              <w14:textFill>
                <w14:solidFill>
                  <w14:schemeClr w14:val="tx1"/>
                </w14:solidFill>
              </w14:textFill>
            </w:rPr>
            <w:fldChar w:fldCharType="begin"/>
          </w:r>
          <w:r>
            <w:rPr>
              <w:rFonts w:hint="eastAsia" w:ascii="Times New Roman" w:hAnsi="Times New Roman" w:eastAsia="宋体" w:cs="宋体"/>
              <w:szCs w:val="52"/>
              <w:highlight w:val="none"/>
            </w:rPr>
            <w:instrText xml:space="preserve"> HYPERLINK \l _Toc6948 </w:instrText>
          </w:r>
          <w:r>
            <w:rPr>
              <w:rFonts w:hint="eastAsia" w:ascii="Times New Roman" w:hAnsi="Times New Roman" w:eastAsia="宋体" w:cs="宋体"/>
              <w:szCs w:val="52"/>
              <w:highlight w:val="none"/>
            </w:rPr>
            <w:fldChar w:fldCharType="separate"/>
          </w:r>
          <w:r>
            <w:rPr>
              <w:rFonts w:hint="default" w:ascii="Times New Roman" w:hAnsi="Times New Roman" w:cs="Times New Roman"/>
              <w:szCs w:val="28"/>
            </w:rPr>
            <w:t xml:space="preserve">10 </w:t>
          </w:r>
          <w:r>
            <w:rPr>
              <w:rFonts w:hint="eastAsia" w:ascii="Times New Roman" w:hAnsi="Times New Roman" w:eastAsia="黑体" w:cs="黑体"/>
              <w:szCs w:val="28"/>
              <w:highlight w:val="none"/>
            </w:rPr>
            <w:t>工频过电压及潜供电流计算</w:t>
          </w:r>
          <w:r>
            <w:tab/>
          </w:r>
          <w:r>
            <w:fldChar w:fldCharType="begin"/>
          </w:r>
          <w:r>
            <w:instrText xml:space="preserve"> PAGEREF _Toc6948 \h </w:instrText>
          </w:r>
          <w:r>
            <w:fldChar w:fldCharType="separate"/>
          </w:r>
          <w:r>
            <w:t>16</w:t>
          </w:r>
          <w:r>
            <w:fldChar w:fldCharType="end"/>
          </w: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p w14:paraId="0072B642">
          <w:pPr>
            <w:pStyle w:val="13"/>
            <w:tabs>
              <w:tab w:val="right" w:leader="dot" w:pos="8306"/>
            </w:tabs>
            <w:rPr>
              <w:rFonts w:hint="eastAsia" w:ascii="黑体" w:hAnsi="黑体" w:eastAsia="黑体" w:cs="黑体"/>
            </w:rPr>
          </w:pPr>
          <w:r>
            <w:rPr>
              <w:rFonts w:hint="eastAsia" w:ascii="黑体" w:hAnsi="黑体" w:eastAsia="黑体" w:cs="黑体"/>
              <w:color w:val="000000" w:themeColor="text1"/>
              <w:szCs w:val="52"/>
              <w:highlight w:val="none"/>
              <w14:textFill>
                <w14:solidFill>
                  <w14:schemeClr w14:val="tx1"/>
                </w14:solidFill>
              </w14:textFill>
            </w:rPr>
            <w:fldChar w:fldCharType="begin"/>
          </w:r>
          <w:r>
            <w:rPr>
              <w:rFonts w:hint="eastAsia" w:ascii="黑体" w:hAnsi="黑体" w:eastAsia="黑体" w:cs="黑体"/>
              <w:szCs w:val="52"/>
              <w:highlight w:val="none"/>
            </w:rPr>
            <w:instrText xml:space="preserve"> HYPERLINK \l _Toc17046 </w:instrText>
          </w:r>
          <w:r>
            <w:rPr>
              <w:rFonts w:hint="eastAsia" w:ascii="黑体" w:hAnsi="黑体" w:eastAsia="黑体" w:cs="黑体"/>
              <w:szCs w:val="52"/>
              <w:highlight w:val="none"/>
            </w:rPr>
            <w:fldChar w:fldCharType="separate"/>
          </w:r>
          <w:r>
            <w:rPr>
              <w:rFonts w:hint="eastAsia" w:ascii="黑体" w:hAnsi="黑体" w:eastAsia="黑体" w:cs="黑体"/>
              <w:highlight w:val="none"/>
              <w:lang w:val="en-US" w:eastAsia="zh-CN"/>
            </w:rPr>
            <w:t>11 附录</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_Toc17046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color w:val="000000" w:themeColor="text1"/>
              <w:szCs w:val="52"/>
              <w:highlight w:val="none"/>
              <w14:textFill>
                <w14:solidFill>
                  <w14:schemeClr w14:val="tx1"/>
                </w14:solidFill>
              </w14:textFill>
            </w:rPr>
            <w:fldChar w:fldCharType="end"/>
          </w:r>
        </w:p>
        <w:p w14:paraId="492748BB">
          <w:pPr>
            <w:jc w:val="center"/>
            <w:rPr>
              <w:rFonts w:ascii="Times New Roman" w:hAnsi="Times New Roman" w:eastAsia="宋体" w:cs="宋体"/>
              <w:color w:val="000000" w:themeColor="text1"/>
              <w:szCs w:val="52"/>
              <w:highlight w:val="none"/>
              <w14:textFill>
                <w14:solidFill>
                  <w14:schemeClr w14:val="tx1"/>
                </w14:solidFill>
              </w14:textFill>
            </w:rPr>
          </w:pPr>
          <w:r>
            <w:rPr>
              <w:rFonts w:hint="eastAsia" w:ascii="Times New Roman" w:hAnsi="Times New Roman" w:eastAsia="宋体" w:cs="宋体"/>
              <w:color w:val="000000" w:themeColor="text1"/>
              <w:szCs w:val="52"/>
              <w:highlight w:val="none"/>
              <w14:textFill>
                <w14:solidFill>
                  <w14:schemeClr w14:val="tx1"/>
                </w14:solidFill>
              </w14:textFill>
            </w:rPr>
            <w:fldChar w:fldCharType="end"/>
          </w:r>
        </w:p>
      </w:sdtContent>
    </w:sdt>
    <w:p w14:paraId="139F5433">
      <w:pPr>
        <w:jc w:val="center"/>
        <w:rPr>
          <w:rFonts w:ascii="Times New Roman" w:hAnsi="Times New Roman" w:eastAsia="黑体" w:cs="黑体"/>
          <w:color w:val="000000" w:themeColor="text1"/>
          <w:szCs w:val="52"/>
          <w:highlight w:val="none"/>
          <w14:textFill>
            <w14:solidFill>
              <w14:schemeClr w14:val="tx1"/>
            </w14:solidFill>
          </w14:textFill>
        </w:rPr>
      </w:pPr>
    </w:p>
    <w:p w14:paraId="51CCC67C">
      <w:pPr>
        <w:jc w:val="center"/>
        <w:rPr>
          <w:rFonts w:ascii="Times New Roman" w:hAnsi="Times New Roman" w:eastAsia="黑体" w:cs="黑体"/>
          <w:color w:val="000000" w:themeColor="text1"/>
          <w:sz w:val="44"/>
          <w:szCs w:val="52"/>
          <w:highlight w:val="none"/>
          <w14:textFill>
            <w14:solidFill>
              <w14:schemeClr w14:val="tx1"/>
            </w14:solidFill>
          </w14:textFill>
        </w:rPr>
      </w:pPr>
    </w:p>
    <w:p w14:paraId="1A98CBFA">
      <w:pPr>
        <w:jc w:val="center"/>
        <w:rPr>
          <w:rFonts w:ascii="Times New Roman" w:hAnsi="Times New Roman" w:eastAsia="黑体" w:cs="黑体"/>
          <w:color w:val="000000" w:themeColor="text1"/>
          <w:sz w:val="44"/>
          <w:szCs w:val="52"/>
          <w:highlight w:val="none"/>
          <w14:textFill>
            <w14:solidFill>
              <w14:schemeClr w14:val="tx1"/>
            </w14:solidFill>
          </w14:textFill>
        </w:rPr>
      </w:pPr>
    </w:p>
    <w:p w14:paraId="364AA8CC">
      <w:pPr>
        <w:jc w:val="center"/>
        <w:rPr>
          <w:rFonts w:ascii="Times New Roman" w:hAnsi="Times New Roman" w:eastAsia="黑体" w:cs="黑体"/>
          <w:color w:val="000000" w:themeColor="text1"/>
          <w:sz w:val="44"/>
          <w:szCs w:val="52"/>
          <w:highlight w:val="none"/>
          <w14:textFill>
            <w14:solidFill>
              <w14:schemeClr w14:val="tx1"/>
            </w14:solidFill>
          </w14:textFill>
        </w:rPr>
      </w:pPr>
    </w:p>
    <w:p w14:paraId="66D7D169">
      <w:pPr>
        <w:jc w:val="center"/>
        <w:rPr>
          <w:rFonts w:ascii="Times New Roman" w:hAnsi="Times New Roman" w:eastAsia="黑体" w:cs="黑体"/>
          <w:color w:val="000000" w:themeColor="text1"/>
          <w:sz w:val="44"/>
          <w:szCs w:val="52"/>
          <w:highlight w:val="none"/>
          <w14:textFill>
            <w14:solidFill>
              <w14:schemeClr w14:val="tx1"/>
            </w14:solidFill>
          </w14:textFill>
        </w:rPr>
        <w:sectPr>
          <w:footerReference r:id="rId6" w:type="default"/>
          <w:pgSz w:w="11906" w:h="16838"/>
          <w:pgMar w:top="1440" w:right="1800" w:bottom="1440" w:left="1800" w:header="851" w:footer="992" w:gutter="0"/>
          <w:pgNumType w:fmt="upperRoman" w:start="1"/>
          <w:cols w:space="425" w:num="1"/>
          <w:docGrid w:type="lines" w:linePitch="312" w:charSpace="0"/>
        </w:sectPr>
      </w:pPr>
    </w:p>
    <w:p w14:paraId="4F782C42">
      <w:pPr>
        <w:jc w:val="center"/>
        <w:rPr>
          <w:rFonts w:ascii="Times New Roman" w:hAnsi="Times New Roman" w:eastAsia="黑体" w:cs="黑体"/>
          <w:color w:val="000000" w:themeColor="text1"/>
          <w:sz w:val="44"/>
          <w:szCs w:val="52"/>
          <w:highlight w:val="none"/>
          <w14:textFill>
            <w14:solidFill>
              <w14:schemeClr w14:val="tx1"/>
            </w14:solidFill>
          </w14:textFill>
        </w:rPr>
      </w:pPr>
    </w:p>
    <w:p w14:paraId="5046BB17">
      <w:pPr>
        <w:pStyle w:val="2"/>
        <w:numPr>
          <w:ilvl w:val="0"/>
          <w:numId w:val="0"/>
        </w:numPr>
        <w:jc w:val="center"/>
        <w:rPr>
          <w:rFonts w:ascii="Times New Roman" w:hAnsi="Times New Roman" w:cs="黑体"/>
          <w:color w:val="000000" w:themeColor="text1"/>
          <w:sz w:val="44"/>
          <w:szCs w:val="52"/>
          <w:highlight w:val="none"/>
          <w14:textFill>
            <w14:solidFill>
              <w14:schemeClr w14:val="tx1"/>
            </w14:solidFill>
          </w14:textFill>
        </w:rPr>
      </w:pPr>
      <w:bookmarkStart w:id="14" w:name="_Toc10922"/>
      <w:r>
        <w:rPr>
          <w:rFonts w:hint="eastAsia" w:ascii="Times New Roman" w:hAnsi="Times New Roman" w:cs="黑体"/>
          <w:color w:val="000000" w:themeColor="text1"/>
          <w:sz w:val="28"/>
          <w:szCs w:val="28"/>
          <w:highlight w:val="none"/>
          <w14:textFill>
            <w14:solidFill>
              <w14:schemeClr w14:val="tx1"/>
            </w14:solidFill>
          </w14:textFill>
        </w:rPr>
        <w:t>前</w:t>
      </w:r>
      <w:r>
        <w:rPr>
          <w:rFonts w:hint="eastAsia" w:ascii="Times New Roman" w:hAnsi="Times New Roman" w:cs="黑体"/>
          <w:color w:val="000000" w:themeColor="text1"/>
          <w:sz w:val="28"/>
          <w:szCs w:val="28"/>
          <w:highlight w:val="none"/>
          <w:lang w:val="en-US" w:eastAsia="zh-CN"/>
          <w14:textFill>
            <w14:solidFill>
              <w14:schemeClr w14:val="tx1"/>
            </w14:solidFill>
          </w14:textFill>
        </w:rPr>
        <w:t xml:space="preserve">  </w:t>
      </w:r>
      <w:r>
        <w:rPr>
          <w:rFonts w:hint="eastAsia" w:ascii="Times New Roman" w:hAnsi="Times New Roman" w:cs="黑体"/>
          <w:color w:val="000000" w:themeColor="text1"/>
          <w:sz w:val="28"/>
          <w:szCs w:val="28"/>
          <w:highlight w:val="none"/>
          <w14:textFill>
            <w14:solidFill>
              <w14:schemeClr w14:val="tx1"/>
            </w14:solidFill>
          </w14:textFill>
        </w:rPr>
        <w:t>言</w:t>
      </w:r>
      <w:bookmarkEnd w:id="14"/>
    </w:p>
    <w:p w14:paraId="44843666">
      <w:pPr>
        <w:pStyle w:val="6"/>
        <w:rPr>
          <w:rFonts w:ascii="Times New Roman" w:hAnsi="Times New Roman"/>
          <w:color w:val="000000" w:themeColor="text1"/>
          <w:highlight w:val="none"/>
          <w14:textFill>
            <w14:solidFill>
              <w14:schemeClr w14:val="tx1"/>
            </w14:solidFill>
          </w14:textFill>
        </w:rPr>
      </w:pPr>
    </w:p>
    <w:p w14:paraId="0B00ECE6">
      <w:pPr>
        <w:ind w:firstLine="560" w:firstLineChars="200"/>
        <w:rPr>
          <w:rFonts w:ascii="Times New Roman" w:hAnsi="Times New Roman" w:cs="黑体"/>
          <w:color w:val="000000" w:themeColor="text1"/>
          <w:sz w:val="28"/>
          <w:szCs w:val="28"/>
          <w:highlight w:val="none"/>
          <w14:textFill>
            <w14:solidFill>
              <w14:schemeClr w14:val="tx1"/>
            </w14:solidFill>
          </w14:textFill>
        </w:rPr>
      </w:pPr>
      <w:r>
        <w:rPr>
          <w:rFonts w:hint="eastAsia" w:ascii="Times New Roman" w:hAnsi="Times New Roman" w:cs="黑体"/>
          <w:color w:val="000000" w:themeColor="text1"/>
          <w:sz w:val="28"/>
          <w:szCs w:val="28"/>
          <w:highlight w:val="none"/>
          <w14:textFill>
            <w14:solidFill>
              <w14:schemeClr w14:val="tx1"/>
            </w14:solidFill>
          </w14:textFill>
        </w:rPr>
        <w:t>为了适应新形势下</w:t>
      </w:r>
      <w:r>
        <w:rPr>
          <w:rFonts w:hint="eastAsia" w:ascii="Times New Roman" w:hAnsi="Times New Roman" w:cs="黑体"/>
          <w:color w:val="000000" w:themeColor="text1"/>
          <w:sz w:val="28"/>
          <w:szCs w:val="28"/>
          <w:highlight w:val="none"/>
          <w:lang w:eastAsia="zh-CN"/>
          <w14:textFill>
            <w14:solidFill>
              <w14:schemeClr w14:val="tx1"/>
            </w14:solidFill>
          </w14:textFill>
        </w:rPr>
        <w:t>“双碳”目标</w:t>
      </w:r>
      <w:r>
        <w:rPr>
          <w:rFonts w:hint="eastAsia" w:ascii="Times New Roman" w:hAnsi="Times New Roman" w:cs="黑体"/>
          <w:color w:val="000000" w:themeColor="text1"/>
          <w:sz w:val="28"/>
          <w:szCs w:val="28"/>
          <w:highlight w:val="none"/>
          <w14:textFill>
            <w14:solidFill>
              <w14:schemeClr w14:val="tx1"/>
            </w14:solidFill>
          </w14:textFill>
        </w:rPr>
        <w:t>和能源转型要求，提升深圳220kV及以上电网规划设计的工作效率和成果质量，保障220kV及以上电网安全、可靠运行，按照深圳市电力行业协会团体标准管理办法，制定本标准。</w:t>
      </w:r>
    </w:p>
    <w:p w14:paraId="1F27C71D">
      <w:pPr>
        <w:ind w:firstLine="560" w:firstLineChars="200"/>
        <w:rPr>
          <w:rFonts w:ascii="Times New Roman" w:hAnsi="Times New Roman" w:cs="黑体"/>
          <w:color w:val="000000" w:themeColor="text1"/>
          <w:sz w:val="28"/>
          <w:szCs w:val="28"/>
          <w:highlight w:val="none"/>
          <w14:textFill>
            <w14:solidFill>
              <w14:schemeClr w14:val="tx1"/>
            </w14:solidFill>
          </w14:textFill>
        </w:rPr>
      </w:pPr>
      <w:r>
        <w:rPr>
          <w:rFonts w:hint="eastAsia" w:ascii="Times New Roman" w:hAnsi="Times New Roman" w:cs="黑体"/>
          <w:color w:val="000000" w:themeColor="text1"/>
          <w:sz w:val="28"/>
          <w:szCs w:val="28"/>
          <w:highlight w:val="none"/>
          <w14:textFill>
            <w14:solidFill>
              <w14:schemeClr w14:val="tx1"/>
            </w14:solidFill>
          </w14:textFill>
        </w:rPr>
        <w:t>本标准按照GB/T 1.1—2020《标准化工作导则 第1部分：标准化文件的结构和起草规则》的规定起草。</w:t>
      </w:r>
    </w:p>
    <w:p w14:paraId="4B23E8E7">
      <w:pPr>
        <w:pStyle w:val="6"/>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本标准由深圳市电力行业协会提出并归口管理。</w:t>
      </w:r>
    </w:p>
    <w:p w14:paraId="3BAAC048">
      <w:pPr>
        <w:pStyle w:val="6"/>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本</w:t>
      </w:r>
      <w:r>
        <w:rPr>
          <w:rFonts w:hint="eastAsia" w:ascii="Times New Roman" w:hAnsi="Times New Roman" w:cs="黑体"/>
          <w:color w:val="000000" w:themeColor="text1"/>
          <w:sz w:val="28"/>
          <w:szCs w:val="28"/>
          <w:highlight w:val="none"/>
          <w14:textFill>
            <w14:solidFill>
              <w14:schemeClr w14:val="tx1"/>
            </w14:solidFill>
          </w14:textFill>
        </w:rPr>
        <w:t>文件</w:t>
      </w:r>
      <w:r>
        <w:rPr>
          <w:rFonts w:hint="eastAsia" w:ascii="Times New Roman" w:hAnsi="Times New Roman"/>
          <w:color w:val="000000" w:themeColor="text1"/>
          <w:sz w:val="28"/>
          <w:szCs w:val="28"/>
          <w:highlight w:val="none"/>
          <w14:textFill>
            <w14:solidFill>
              <w14:schemeClr w14:val="tx1"/>
            </w14:solidFill>
          </w14:textFill>
        </w:rPr>
        <w:t>起草单位：深圳供电局有限公司、深圳供电规划设计院有限公司、深圳新能电力开发设计院有限公司、南方电网能源发展研究院有限责任公司、中国能源建设集团广东省电力设计研究院有限公司</w:t>
      </w:r>
    </w:p>
    <w:p w14:paraId="209F663F">
      <w:pPr>
        <w:pStyle w:val="6"/>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本</w:t>
      </w:r>
      <w:r>
        <w:rPr>
          <w:rFonts w:hint="eastAsia" w:ascii="Times New Roman" w:hAnsi="Times New Roman" w:cs="黑体"/>
          <w:color w:val="000000" w:themeColor="text1"/>
          <w:sz w:val="28"/>
          <w:szCs w:val="28"/>
          <w:highlight w:val="none"/>
          <w14:textFill>
            <w14:solidFill>
              <w14:schemeClr w14:val="tx1"/>
            </w14:solidFill>
          </w14:textFill>
        </w:rPr>
        <w:t>文件</w:t>
      </w:r>
      <w:r>
        <w:rPr>
          <w:rFonts w:hint="eastAsia" w:ascii="Times New Roman" w:hAnsi="Times New Roman"/>
          <w:color w:val="000000" w:themeColor="text1"/>
          <w:sz w:val="28"/>
          <w:szCs w:val="28"/>
          <w:highlight w:val="none"/>
          <w14:textFill>
            <w14:solidFill>
              <w14:schemeClr w14:val="tx1"/>
            </w14:solidFill>
          </w14:textFill>
        </w:rPr>
        <w:t>主要起草人：×××。</w:t>
      </w:r>
    </w:p>
    <w:p w14:paraId="2531C2E5">
      <w:pPr>
        <w:pStyle w:val="6"/>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本标准为首次发布。</w:t>
      </w:r>
    </w:p>
    <w:p w14:paraId="4C4B78C4">
      <w:pPr>
        <w:pStyle w:val="6"/>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本标准在执行过程中的意见或建议反馈至深圳市电力行业协会。</w:t>
      </w:r>
    </w:p>
    <w:p w14:paraId="224EBBD0">
      <w:pPr>
        <w:pStyle w:val="6"/>
        <w:ind w:firstLine="560" w:firstLineChars="200"/>
        <w:rPr>
          <w:rFonts w:ascii="Times New Roman" w:hAnsi="Times New Roman"/>
          <w:color w:val="000000" w:themeColor="text1"/>
          <w:sz w:val="28"/>
          <w:szCs w:val="28"/>
          <w:highlight w:val="none"/>
          <w14:textFill>
            <w14:solidFill>
              <w14:schemeClr w14:val="tx1"/>
            </w14:solidFill>
          </w14:textFill>
        </w:rPr>
      </w:pPr>
    </w:p>
    <w:p w14:paraId="4187CDAA">
      <w:pPr>
        <w:rPr>
          <w:rFonts w:ascii="Times New Roman" w:hAnsi="Times New Roman" w:eastAsia="黑体" w:cs="黑体"/>
          <w:color w:val="000000" w:themeColor="text1"/>
          <w:sz w:val="44"/>
          <w:szCs w:val="52"/>
          <w:highlight w:val="none"/>
          <w14:textFill>
            <w14:solidFill>
              <w14:schemeClr w14:val="tx1"/>
            </w14:solidFill>
          </w14:textFill>
        </w:rPr>
      </w:pPr>
      <w:r>
        <w:rPr>
          <w:rFonts w:hint="eastAsia" w:ascii="Times New Roman" w:hAnsi="Times New Roman" w:eastAsia="黑体" w:cs="黑体"/>
          <w:color w:val="000000" w:themeColor="text1"/>
          <w:sz w:val="44"/>
          <w:szCs w:val="52"/>
          <w:highlight w:val="none"/>
          <w14:textFill>
            <w14:solidFill>
              <w14:schemeClr w14:val="tx1"/>
            </w14:solidFill>
          </w14:textFill>
        </w:rPr>
        <w:br w:type="page"/>
      </w:r>
    </w:p>
    <w:p w14:paraId="11E9C7F4">
      <w:pPr>
        <w:pStyle w:val="6"/>
        <w:rPr>
          <w:rFonts w:ascii="Times New Roman" w:hAnsi="Times New Roman"/>
          <w:color w:val="000000" w:themeColor="text1"/>
          <w:highlight w:val="none"/>
          <w14:textFill>
            <w14:solidFill>
              <w14:schemeClr w14:val="tx1"/>
            </w14:solidFill>
          </w14:textFill>
        </w:rPr>
        <w:sectPr>
          <w:footerReference r:id="rId7" w:type="default"/>
          <w:pgSz w:w="11906" w:h="16838"/>
          <w:pgMar w:top="1440" w:right="1800" w:bottom="1440" w:left="1800" w:header="851" w:footer="992" w:gutter="0"/>
          <w:pgNumType w:fmt="upperRoman"/>
          <w:cols w:space="425" w:num="1"/>
          <w:docGrid w:type="lines" w:linePitch="312" w:charSpace="0"/>
        </w:sectPr>
      </w:pPr>
    </w:p>
    <w:p w14:paraId="50A8A345">
      <w:pPr>
        <w:numPr>
          <w:ilvl w:val="0"/>
          <w:numId w:val="2"/>
        </w:numPr>
        <w:jc w:val="center"/>
        <w:outlineLvl w:val="0"/>
        <w:rPr>
          <w:rFonts w:ascii="Times New Roman" w:hAnsi="Times New Roman" w:eastAsia="黑体" w:cs="黑体"/>
          <w:color w:val="000000" w:themeColor="text1"/>
          <w:sz w:val="28"/>
          <w:szCs w:val="28"/>
          <w:highlight w:val="none"/>
          <w14:textFill>
            <w14:solidFill>
              <w14:schemeClr w14:val="tx1"/>
            </w14:solidFill>
          </w14:textFill>
        </w:rPr>
      </w:pPr>
      <w:bookmarkStart w:id="15" w:name="_Toc17748"/>
      <w:r>
        <w:rPr>
          <w:rFonts w:hint="eastAsia" w:ascii="Times New Roman" w:hAnsi="Times New Roman" w:eastAsia="黑体" w:cs="黑体"/>
          <w:color w:val="000000" w:themeColor="text1"/>
          <w:sz w:val="28"/>
          <w:szCs w:val="28"/>
          <w:highlight w:val="none"/>
          <w14:textFill>
            <w14:solidFill>
              <w14:schemeClr w14:val="tx1"/>
            </w14:solidFill>
          </w14:textFill>
        </w:rPr>
        <w:t xml:space="preserve">总 </w:t>
      </w:r>
      <w:r>
        <w:rPr>
          <w:rFonts w:ascii="Times New Roman" w:hAnsi="Times New Roman" w:eastAsia="黑体" w:cs="黑体"/>
          <w:color w:val="000000" w:themeColor="text1"/>
          <w:sz w:val="28"/>
          <w:szCs w:val="28"/>
          <w:highlight w:val="none"/>
          <w14:textFill>
            <w14:solidFill>
              <w14:schemeClr w14:val="tx1"/>
            </w14:solidFill>
          </w14:textFill>
        </w:rPr>
        <w:t xml:space="preserve">   </w:t>
      </w:r>
      <w:r>
        <w:rPr>
          <w:rFonts w:hint="eastAsia" w:ascii="Times New Roman" w:hAnsi="Times New Roman" w:eastAsia="黑体" w:cs="黑体"/>
          <w:color w:val="000000" w:themeColor="text1"/>
          <w:sz w:val="28"/>
          <w:szCs w:val="28"/>
          <w:highlight w:val="none"/>
          <w14:textFill>
            <w14:solidFill>
              <w14:schemeClr w14:val="tx1"/>
            </w14:solidFill>
          </w14:textFill>
        </w:rPr>
        <w:t>则</w:t>
      </w:r>
      <w:bookmarkEnd w:id="15"/>
    </w:p>
    <w:p w14:paraId="59355604">
      <w:pPr>
        <w:pStyle w:val="6"/>
        <w:numPr>
          <w:ilvl w:val="2"/>
          <w:numId w:val="3"/>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 xml:space="preserve"> 为规范深圳电网规划设计中电气计算的内容与要求，制定本</w:t>
      </w:r>
      <w:r>
        <w:rPr>
          <w:rFonts w:hint="eastAsia" w:ascii="Times New Roman" w:hAnsi="Times New Roman" w:cs="黑体"/>
          <w:color w:val="000000" w:themeColor="text1"/>
          <w:sz w:val="28"/>
          <w:szCs w:val="28"/>
          <w:highlight w:val="none"/>
          <w14:textFill>
            <w14:solidFill>
              <w14:schemeClr w14:val="tx1"/>
            </w14:solidFill>
          </w14:textFill>
        </w:rPr>
        <w:t>文件</w:t>
      </w:r>
      <w:r>
        <w:rPr>
          <w:rFonts w:hint="eastAsia" w:ascii="Times New Roman" w:hAnsi="Times New Roman" w:eastAsia="宋体" w:cs="宋体"/>
          <w:color w:val="000000" w:themeColor="text1"/>
          <w:sz w:val="28"/>
          <w:szCs w:val="28"/>
          <w:highlight w:val="none"/>
          <w14:textFill>
            <w14:solidFill>
              <w14:schemeClr w14:val="tx1"/>
            </w14:solidFill>
          </w14:textFill>
        </w:rPr>
        <w:t>。</w:t>
      </w:r>
    </w:p>
    <w:p w14:paraId="6E31BDE1">
      <w:pPr>
        <w:pStyle w:val="6"/>
        <w:numPr>
          <w:ilvl w:val="2"/>
          <w:numId w:val="3"/>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ascii="Times New Roman" w:hAnsi="Times New Roman" w:eastAsia="宋体" w:cs="宋体"/>
          <w:color w:val="000000" w:themeColor="text1"/>
          <w:sz w:val="28"/>
          <w:szCs w:val="28"/>
          <w:highlight w:val="none"/>
          <w14:textFill>
            <w14:solidFill>
              <w14:schemeClr w14:val="tx1"/>
            </w14:solidFill>
          </w14:textFill>
        </w:rPr>
        <w:t xml:space="preserve"> </w:t>
      </w:r>
      <w:r>
        <w:rPr>
          <w:rFonts w:hint="eastAsia" w:ascii="Times New Roman" w:hAnsi="Times New Roman" w:eastAsia="宋体" w:cs="宋体"/>
          <w:color w:val="000000" w:themeColor="text1"/>
          <w:sz w:val="28"/>
          <w:szCs w:val="28"/>
          <w:highlight w:val="none"/>
          <w14:textFill>
            <w14:solidFill>
              <w14:schemeClr w14:val="tx1"/>
            </w14:solidFill>
          </w14:textFill>
        </w:rPr>
        <w:t>本</w:t>
      </w:r>
      <w:r>
        <w:rPr>
          <w:rFonts w:hint="eastAsia" w:ascii="Times New Roman" w:hAnsi="Times New Roman" w:cs="黑体"/>
          <w:color w:val="000000" w:themeColor="text1"/>
          <w:sz w:val="28"/>
          <w:szCs w:val="28"/>
          <w:highlight w:val="none"/>
          <w14:textFill>
            <w14:solidFill>
              <w14:schemeClr w14:val="tx1"/>
            </w14:solidFill>
          </w14:textFill>
        </w:rPr>
        <w:t>文件</w:t>
      </w:r>
      <w:r>
        <w:rPr>
          <w:rFonts w:hint="eastAsia" w:ascii="Times New Roman" w:hAnsi="Times New Roman" w:eastAsia="宋体" w:cs="宋体"/>
          <w:color w:val="000000" w:themeColor="text1"/>
          <w:sz w:val="28"/>
          <w:szCs w:val="28"/>
          <w:highlight w:val="none"/>
          <w14:textFill>
            <w14:solidFill>
              <w14:schemeClr w14:val="tx1"/>
            </w14:solidFill>
          </w14:textFill>
        </w:rPr>
        <w:t>适用于深圳220kV及以上电压等级电网规划及工程设计中的电气计算工作。</w:t>
      </w:r>
    </w:p>
    <w:p w14:paraId="054E4632">
      <w:pPr>
        <w:pStyle w:val="6"/>
        <w:numPr>
          <w:ilvl w:val="2"/>
          <w:numId w:val="3"/>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ascii="Times New Roman" w:hAnsi="Times New Roman" w:eastAsia="宋体" w:cs="宋体"/>
          <w:color w:val="000000" w:themeColor="text1"/>
          <w:sz w:val="28"/>
          <w:szCs w:val="28"/>
          <w:highlight w:val="none"/>
          <w14:textFill>
            <w14:solidFill>
              <w14:schemeClr w14:val="tx1"/>
            </w14:solidFill>
          </w14:textFill>
        </w:rPr>
        <w:t xml:space="preserve"> </w:t>
      </w:r>
      <w:r>
        <w:rPr>
          <w:rFonts w:hint="eastAsia" w:ascii="Times New Roman" w:hAnsi="Times New Roman" w:eastAsia="宋体" w:cs="宋体"/>
          <w:color w:val="000000" w:themeColor="text1"/>
          <w:sz w:val="28"/>
          <w:szCs w:val="28"/>
          <w:highlight w:val="none"/>
          <w14:textFill>
            <w14:solidFill>
              <w14:schemeClr w14:val="tx1"/>
            </w14:solidFill>
          </w14:textFill>
        </w:rPr>
        <w:t>深圳220kV及以上电网规划设计电气计算除应执行本</w:t>
      </w:r>
      <w:r>
        <w:rPr>
          <w:rFonts w:hint="eastAsia" w:ascii="Times New Roman" w:hAnsi="Times New Roman" w:cs="黑体"/>
          <w:color w:val="000000" w:themeColor="text1"/>
          <w:sz w:val="28"/>
          <w:szCs w:val="28"/>
          <w:highlight w:val="none"/>
          <w14:textFill>
            <w14:solidFill>
              <w14:schemeClr w14:val="tx1"/>
            </w14:solidFill>
          </w14:textFill>
        </w:rPr>
        <w:t>文件</w:t>
      </w:r>
      <w:r>
        <w:rPr>
          <w:rFonts w:hint="eastAsia" w:ascii="Times New Roman" w:hAnsi="Times New Roman" w:eastAsia="宋体" w:cs="宋体"/>
          <w:color w:val="000000" w:themeColor="text1"/>
          <w:sz w:val="28"/>
          <w:szCs w:val="28"/>
          <w:highlight w:val="none"/>
          <w14:textFill>
            <w14:solidFill>
              <w14:schemeClr w14:val="tx1"/>
            </w14:solidFill>
          </w14:textFill>
        </w:rPr>
        <w:t>的规定外，尚应符合国家现行有关标准的规定。</w:t>
      </w:r>
    </w:p>
    <w:p w14:paraId="0B9E320C">
      <w:pPr>
        <w:bidi w:val="0"/>
        <w:rPr>
          <w:rFonts w:ascii="Times New Roman" w:hAnsi="Times New Roman"/>
          <w:color w:val="000000" w:themeColor="text1"/>
          <w:highlight w:val="none"/>
          <w14:textFill>
            <w14:solidFill>
              <w14:schemeClr w14:val="tx1"/>
            </w14:solidFill>
          </w14:textFill>
        </w:rPr>
      </w:pPr>
    </w:p>
    <w:p w14:paraId="1E93ABE0">
      <w:pPr>
        <w:numPr>
          <w:ilvl w:val="0"/>
          <w:numId w:val="2"/>
        </w:numPr>
        <w:jc w:val="center"/>
        <w:outlineLvl w:val="0"/>
        <w:rPr>
          <w:rFonts w:ascii="Times New Roman" w:hAnsi="Times New Roman" w:eastAsia="黑体" w:cs="黑体"/>
          <w:color w:val="000000" w:themeColor="text1"/>
          <w:sz w:val="28"/>
          <w:szCs w:val="28"/>
          <w:highlight w:val="none"/>
          <w14:textFill>
            <w14:solidFill>
              <w14:schemeClr w14:val="tx1"/>
            </w14:solidFill>
          </w14:textFill>
        </w:rPr>
      </w:pPr>
      <w:bookmarkStart w:id="16" w:name="_Toc25460"/>
      <w:r>
        <w:rPr>
          <w:rFonts w:hint="eastAsia" w:ascii="Times New Roman" w:hAnsi="Times New Roman" w:eastAsia="黑体" w:cs="黑体"/>
          <w:color w:val="000000" w:themeColor="text1"/>
          <w:sz w:val="28"/>
          <w:szCs w:val="28"/>
          <w:highlight w:val="none"/>
          <w14:textFill>
            <w14:solidFill>
              <w14:schemeClr w14:val="tx1"/>
            </w14:solidFill>
          </w14:textFill>
        </w:rPr>
        <w:t xml:space="preserve">术 </w:t>
      </w:r>
      <w:r>
        <w:rPr>
          <w:rFonts w:ascii="Times New Roman" w:hAnsi="Times New Roman" w:eastAsia="黑体" w:cs="黑体"/>
          <w:color w:val="000000" w:themeColor="text1"/>
          <w:sz w:val="28"/>
          <w:szCs w:val="28"/>
          <w:highlight w:val="none"/>
          <w14:textFill>
            <w14:solidFill>
              <w14:schemeClr w14:val="tx1"/>
            </w14:solidFill>
          </w14:textFill>
        </w:rPr>
        <w:t xml:space="preserve">   </w:t>
      </w:r>
      <w:r>
        <w:rPr>
          <w:rFonts w:hint="eastAsia" w:ascii="Times New Roman" w:hAnsi="Times New Roman" w:eastAsia="黑体" w:cs="黑体"/>
          <w:color w:val="000000" w:themeColor="text1"/>
          <w:sz w:val="28"/>
          <w:szCs w:val="28"/>
          <w:highlight w:val="none"/>
          <w14:textFill>
            <w14:solidFill>
              <w14:schemeClr w14:val="tx1"/>
            </w14:solidFill>
          </w14:textFill>
        </w:rPr>
        <w:t>语</w:t>
      </w:r>
      <w:bookmarkEnd w:id="16"/>
    </w:p>
    <w:p w14:paraId="01911143">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电力系统运行方式 operation mode of power system</w:t>
      </w:r>
    </w:p>
    <w:p w14:paraId="6ED600CD">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为达到安全、稳定、经济、合理的要求，根据电力系统接线的形式，排列出的各种可行的运行形式，在每个可行的运行形式中，规定了各具体设备及元件的运行状态。</w:t>
      </w:r>
    </w:p>
    <w:p w14:paraId="354FDE87">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 xml:space="preserve"> 功角稳定 rotor angle stability</w:t>
      </w:r>
    </w:p>
    <w:p w14:paraId="7C9B335A">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同步互联电力系统中的同步发电机受到扰动后保持同步运行的能力。</w:t>
      </w:r>
    </w:p>
    <w:p w14:paraId="5418BACF">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 xml:space="preserve"> 电压稳定 voltage stability</w:t>
      </w:r>
    </w:p>
    <w:p w14:paraId="74B5F2DC">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电力系统受到小扰动或大扰动后，系统电压能够保持或恢复到允许的范围内，不发生电压崩溃的能力。</w:t>
      </w:r>
    </w:p>
    <w:p w14:paraId="4DEF32D6">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 xml:space="preserve"> 频率稳定 frequency stability</w:t>
      </w:r>
    </w:p>
    <w:p w14:paraId="6C7E119C">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电力系统受到小扰动或大扰动后，系统频率能够保持或恢复到允许的范围内，不发生频率振荡或崩溃的能力。</w:t>
      </w:r>
    </w:p>
    <w:p w14:paraId="06F4DD23">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ascii="Times New Roman" w:hAnsi="Times New Roman" w:eastAsia="宋体" w:cs="宋体"/>
          <w:b/>
          <w:bCs/>
          <w:color w:val="000000" w:themeColor="text1"/>
          <w:sz w:val="28"/>
          <w:szCs w:val="28"/>
          <w:highlight w:val="none"/>
          <w14:textFill>
            <w14:solidFill>
              <w14:schemeClr w14:val="tx1"/>
            </w14:solidFill>
          </w14:textFill>
        </w:rPr>
        <w:t xml:space="preserve"> </w:t>
      </w:r>
      <w:r>
        <w:rPr>
          <w:rFonts w:hint="eastAsia" w:ascii="Times New Roman" w:hAnsi="Times New Roman" w:eastAsia="宋体" w:cs="宋体"/>
          <w:b/>
          <w:bCs/>
          <w:color w:val="000000" w:themeColor="text1"/>
          <w:sz w:val="28"/>
          <w:szCs w:val="28"/>
          <w:highlight w:val="none"/>
          <w14:textFill>
            <w14:solidFill>
              <w14:schemeClr w14:val="tx1"/>
            </w14:solidFill>
          </w14:textFill>
        </w:rPr>
        <w:t>N-1原则 N-1 principle</w:t>
      </w:r>
    </w:p>
    <w:p w14:paraId="7AD429CE">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正常运行方式下的电力系统中任一元件（如发电机、交流线路、变压器、直流单极线路、直流换流器等，下同）无故障或因故障断开，电力系统应能保持稳定运行和正常供电，其他元件不过负荷，电压和频率均在允许范围内。</w:t>
      </w:r>
    </w:p>
    <w:p w14:paraId="3854B67A">
      <w:pPr>
        <w:pStyle w:val="6"/>
        <w:spacing w:line="400" w:lineRule="exact"/>
        <w:rPr>
          <w:rFonts w:ascii="Times New Roman" w:hAnsi="Times New Roman"/>
          <w:color w:val="000000" w:themeColor="text1"/>
          <w:szCs w:val="24"/>
          <w:highlight w:val="none"/>
          <w14:textFill>
            <w14:solidFill>
              <w14:schemeClr w14:val="tx1"/>
            </w14:solidFill>
          </w14:textFill>
        </w:rPr>
      </w:pPr>
      <w:r>
        <w:rPr>
          <w:rFonts w:hint="eastAsia" w:ascii="Times New Roman" w:hAnsi="Times New Roman"/>
          <w:color w:val="000000" w:themeColor="text1"/>
          <w:szCs w:val="24"/>
          <w:highlight w:val="none"/>
          <w14:textFill>
            <w14:solidFill>
              <w14:schemeClr w14:val="tx1"/>
            </w14:solidFill>
          </w14:textFill>
        </w:rPr>
        <w:t>注1：N-</w:t>
      </w:r>
      <w:r>
        <w:rPr>
          <w:rFonts w:ascii="Times New Roman" w:hAnsi="Times New Roman"/>
          <w:color w:val="000000" w:themeColor="text1"/>
          <w:szCs w:val="24"/>
          <w:highlight w:val="none"/>
          <w14:textFill>
            <w14:solidFill>
              <w14:schemeClr w14:val="tx1"/>
            </w14:solidFill>
          </w14:textFill>
        </w:rPr>
        <w:t>1</w:t>
      </w:r>
      <w:r>
        <w:rPr>
          <w:rFonts w:hint="eastAsia" w:ascii="Times New Roman" w:hAnsi="Times New Roman"/>
          <w:color w:val="000000" w:themeColor="text1"/>
          <w:szCs w:val="24"/>
          <w:highlight w:val="none"/>
          <w14:textFill>
            <w14:solidFill>
              <w14:schemeClr w14:val="tx1"/>
            </w14:solidFill>
          </w14:textFill>
        </w:rPr>
        <w:t>原则用于电力系统静态安全分析（任一元件无故障断开），或动态安全分析（任一元件故障后断开的电力系统稳定性分析）。</w:t>
      </w:r>
    </w:p>
    <w:p w14:paraId="2F8391A8">
      <w:pPr>
        <w:pStyle w:val="6"/>
        <w:spacing w:line="400" w:lineRule="exact"/>
        <w:rPr>
          <w:rFonts w:ascii="Times New Roman" w:hAnsi="Times New Roman"/>
          <w:color w:val="000000" w:themeColor="text1"/>
          <w:szCs w:val="24"/>
          <w:highlight w:val="none"/>
          <w14:textFill>
            <w14:solidFill>
              <w14:schemeClr w14:val="tx1"/>
            </w14:solidFill>
          </w14:textFill>
        </w:rPr>
      </w:pPr>
      <w:r>
        <w:rPr>
          <w:rFonts w:hint="eastAsia" w:ascii="Times New Roman" w:hAnsi="Times New Roman"/>
          <w:color w:val="000000" w:themeColor="text1"/>
          <w:szCs w:val="24"/>
          <w:highlight w:val="none"/>
          <w14:textFill>
            <w14:solidFill>
              <w14:schemeClr w14:val="tx1"/>
            </w14:solidFill>
          </w14:textFill>
        </w:rPr>
        <w:t>注2：当发电厂仅有一回送出线路时，送出线路故障可能导致失去一台以上发电机组，此种情况也按N-</w:t>
      </w:r>
      <w:r>
        <w:rPr>
          <w:rFonts w:ascii="Times New Roman" w:hAnsi="Times New Roman"/>
          <w:color w:val="000000" w:themeColor="text1"/>
          <w:szCs w:val="24"/>
          <w:highlight w:val="none"/>
          <w14:textFill>
            <w14:solidFill>
              <w14:schemeClr w14:val="tx1"/>
            </w14:solidFill>
          </w14:textFill>
        </w:rPr>
        <w:t>1</w:t>
      </w:r>
      <w:r>
        <w:rPr>
          <w:rFonts w:hint="eastAsia" w:ascii="Times New Roman" w:hAnsi="Times New Roman"/>
          <w:color w:val="000000" w:themeColor="text1"/>
          <w:szCs w:val="24"/>
          <w:highlight w:val="none"/>
          <w14:textFill>
            <w14:solidFill>
              <w14:schemeClr w14:val="tx1"/>
            </w14:solidFill>
          </w14:textFill>
        </w:rPr>
        <w:t>原则考虑。</w:t>
      </w:r>
    </w:p>
    <w:p w14:paraId="1CCC7309">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 xml:space="preserve">调相调压计算 </w:t>
      </w:r>
      <w:r>
        <w:rPr>
          <w:rFonts w:hint="eastAsia" w:ascii="Times New Roman" w:hAnsi="Times New Roman" w:eastAsia="宋体" w:cs="宋体"/>
          <w:b/>
          <w:bCs/>
          <w:color w:val="000000" w:themeColor="text1"/>
          <w:sz w:val="28"/>
          <w:szCs w:val="28"/>
          <w:highlight w:val="none"/>
          <w:lang w:val="en-US" w:eastAsia="zh-CN"/>
          <w14:textFill>
            <w14:solidFill>
              <w14:schemeClr w14:val="tx1"/>
            </w14:solidFill>
          </w14:textFill>
        </w:rPr>
        <w:t>t</w:t>
      </w:r>
      <w:r>
        <w:rPr>
          <w:rFonts w:hint="eastAsia" w:ascii="Times New Roman" w:hAnsi="Times New Roman" w:eastAsia="宋体" w:cs="宋体"/>
          <w:b/>
          <w:bCs/>
          <w:color w:val="000000" w:themeColor="text1"/>
          <w:sz w:val="28"/>
          <w:szCs w:val="28"/>
          <w:highlight w:val="none"/>
          <w14:textFill>
            <w14:solidFill>
              <w14:schemeClr w14:val="tx1"/>
            </w14:solidFill>
          </w14:textFill>
        </w:rPr>
        <w:t>he calculation of phase adjustment and voltage</w:t>
      </w:r>
    </w:p>
    <w:p w14:paraId="0FFC275B">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为研究电力系统无功功率分布和电压水平，确定无功配置方案、选择变压器调压方式等而进行的潮流计算。</w:t>
      </w:r>
    </w:p>
    <w:p w14:paraId="5BE470EC">
      <w:pPr>
        <w:pStyle w:val="6"/>
        <w:numPr>
          <w:ilvl w:val="2"/>
          <w:numId w:val="4"/>
        </w:numPr>
        <w:tabs>
          <w:tab w:val="left" w:pos="0"/>
        </w:tabs>
        <w:jc w:val="left"/>
        <w:rPr>
          <w:rFonts w:hint="eastAsia"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工频过电压 power frequency overvoltage</w:t>
      </w:r>
    </w:p>
    <w:p w14:paraId="5A9C864B">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电力系统在正常或故障运行时可能出现的幅值超过最大工作电压、频率为工频或接近于工频的电压升高。</w:t>
      </w:r>
    </w:p>
    <w:p w14:paraId="19CDB14F">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潜供电流 secondary arc current</w:t>
      </w:r>
    </w:p>
    <w:p w14:paraId="1B5213F0">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在超高压线路上，当线路发生单相接地，接地相两侧断路器</w:t>
      </w:r>
      <w:r>
        <w:rPr>
          <w:rFonts w:hint="eastAsia" w:ascii="Times New Roman" w:hAnsi="Times New Roman"/>
          <w:color w:val="000000" w:themeColor="text1"/>
          <w:sz w:val="28"/>
          <w:szCs w:val="28"/>
          <w:highlight w:val="none"/>
          <w:lang w:eastAsia="zh-CN"/>
          <w14:textFill>
            <w14:solidFill>
              <w14:schemeClr w14:val="tx1"/>
            </w14:solidFill>
          </w14:textFill>
        </w:rPr>
        <w:t>跳闸</w:t>
      </w:r>
      <w:r>
        <w:rPr>
          <w:rFonts w:hint="eastAsia" w:ascii="Times New Roman" w:hAnsi="Times New Roman"/>
          <w:color w:val="000000" w:themeColor="text1"/>
          <w:sz w:val="28"/>
          <w:szCs w:val="28"/>
          <w:highlight w:val="none"/>
          <w14:textFill>
            <w14:solidFill>
              <w14:schemeClr w14:val="tx1"/>
            </w14:solidFill>
          </w14:textFill>
        </w:rPr>
        <w:t>后，其他两相仍在运行，并通过相间电容和相间互感耦合向接地点提供的电流。</w:t>
      </w:r>
    </w:p>
    <w:p w14:paraId="665391F2">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 xml:space="preserve">短路比 </w:t>
      </w:r>
      <w:r>
        <w:rPr>
          <w:rFonts w:hint="eastAsia" w:ascii="Times New Roman" w:hAnsi="Times New Roman" w:eastAsia="宋体" w:cs="宋体"/>
          <w:b/>
          <w:bCs/>
          <w:color w:val="000000" w:themeColor="text1"/>
          <w:sz w:val="28"/>
          <w:szCs w:val="28"/>
          <w:highlight w:val="none"/>
          <w:lang w:val="en-US" w:eastAsia="zh-CN"/>
          <w14:textFill>
            <w14:solidFill>
              <w14:schemeClr w14:val="tx1"/>
            </w14:solidFill>
          </w14:textFill>
        </w:rPr>
        <w:t>s</w:t>
      </w:r>
      <w:r>
        <w:rPr>
          <w:rFonts w:hint="eastAsia" w:ascii="Times New Roman" w:hAnsi="Times New Roman" w:eastAsia="宋体" w:cs="宋体"/>
          <w:b/>
          <w:bCs/>
          <w:color w:val="000000" w:themeColor="text1"/>
          <w:sz w:val="28"/>
          <w:szCs w:val="28"/>
          <w:highlight w:val="none"/>
          <w14:textFill>
            <w14:solidFill>
              <w14:schemeClr w14:val="tx1"/>
            </w14:solidFill>
          </w14:textFill>
        </w:rPr>
        <w:t xml:space="preserve">hort </w:t>
      </w:r>
      <w:r>
        <w:rPr>
          <w:rFonts w:hint="eastAsia" w:ascii="Times New Roman" w:hAnsi="Times New Roman" w:eastAsia="宋体" w:cs="宋体"/>
          <w:b/>
          <w:bCs/>
          <w:color w:val="000000" w:themeColor="text1"/>
          <w:sz w:val="28"/>
          <w:szCs w:val="28"/>
          <w:highlight w:val="none"/>
          <w:lang w:eastAsia="zh-CN"/>
          <w14:textFill>
            <w14:solidFill>
              <w14:schemeClr w14:val="tx1"/>
            </w14:solidFill>
          </w14:textFill>
        </w:rPr>
        <w:t>circuit</w:t>
      </w:r>
      <w:r>
        <w:rPr>
          <w:rFonts w:hint="eastAsia" w:ascii="Times New Roman" w:hAnsi="Times New Roman" w:eastAsia="宋体" w:cs="宋体"/>
          <w:b/>
          <w:bCs/>
          <w:color w:val="000000" w:themeColor="text1"/>
          <w:sz w:val="28"/>
          <w:szCs w:val="28"/>
          <w:highlight w:val="none"/>
          <w14:textFill>
            <w14:solidFill>
              <w14:schemeClr w14:val="tx1"/>
            </w14:solidFill>
          </w14:textFill>
        </w:rPr>
        <w:t xml:space="preserve"> ratio</w:t>
      </w:r>
    </w:p>
    <w:p w14:paraId="0741925F">
      <w:pPr>
        <w:spacing w:line="560" w:lineRule="exact"/>
        <w:ind w:firstLine="560" w:firstLineChars="200"/>
        <w:rPr>
          <w:rFonts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系统短路容量与电气设备容量的比值。</w:t>
      </w:r>
    </w:p>
    <w:p w14:paraId="4380FFEF">
      <w:pPr>
        <w:pStyle w:val="6"/>
        <w:numPr>
          <w:ilvl w:val="2"/>
          <w:numId w:val="4"/>
        </w:numPr>
        <w:tabs>
          <w:tab w:val="left" w:pos="0"/>
        </w:tabs>
        <w:spacing w:line="560" w:lineRule="exact"/>
        <w:jc w:val="left"/>
        <w:rPr>
          <w:rFonts w:ascii="Times New Roman" w:hAnsi="Times New Roman" w:eastAsia="宋体" w:cs="宋体"/>
          <w:b/>
          <w:bCs/>
          <w:color w:val="000000" w:themeColor="text1"/>
          <w:sz w:val="28"/>
          <w:szCs w:val="28"/>
          <w:highlight w:val="none"/>
          <w14:textFill>
            <w14:solidFill>
              <w14:schemeClr w14:val="tx1"/>
            </w14:solidFill>
          </w14:textFill>
        </w:rPr>
      </w:pPr>
      <w:r>
        <w:rPr>
          <w:rFonts w:hint="eastAsia" w:ascii="Times New Roman" w:hAnsi="Times New Roman" w:eastAsia="宋体" w:cs="宋体"/>
          <w:b/>
          <w:bCs/>
          <w:color w:val="000000" w:themeColor="text1"/>
          <w:sz w:val="28"/>
          <w:szCs w:val="28"/>
          <w:highlight w:val="none"/>
          <w14:textFill>
            <w14:solidFill>
              <w14:schemeClr w14:val="tx1"/>
            </w14:solidFill>
          </w14:textFill>
        </w:rPr>
        <w:t>特殊通道故障</w:t>
      </w:r>
      <w:r>
        <w:rPr>
          <w:rFonts w:hint="eastAsia" w:ascii="Times New Roman" w:hAnsi="Times New Roman" w:eastAsia="宋体" w:cs="宋体"/>
          <w:b/>
          <w:bCs/>
          <w:color w:val="000000" w:themeColor="text1"/>
          <w:sz w:val="28"/>
          <w:szCs w:val="28"/>
          <w:highlight w:val="none"/>
          <w:lang w:val="en-US" w:eastAsia="zh-CN"/>
          <w14:textFill>
            <w14:solidFill>
              <w14:schemeClr w14:val="tx1"/>
            </w14:solidFill>
          </w14:textFill>
        </w:rPr>
        <w:t xml:space="preserve"> special corridor fault</w:t>
      </w:r>
    </w:p>
    <w:p w14:paraId="2FFB4D7D">
      <w:pPr>
        <w:spacing w:line="560" w:lineRule="exact"/>
        <w:ind w:firstLine="560" w:firstLineChars="200"/>
        <w:rPr>
          <w:rFonts w:hint="eastAsia" w:ascii="Times New Roman" w:hAnsi="Times New Roman"/>
          <w:color w:val="000000" w:themeColor="text1"/>
          <w:sz w:val="28"/>
          <w:szCs w:val="28"/>
          <w:highlight w:val="none"/>
          <w14:textFill>
            <w14:solidFill>
              <w14:schemeClr w14:val="tx1"/>
            </w14:solidFill>
          </w14:textFill>
        </w:rPr>
      </w:pPr>
      <w:r>
        <w:rPr>
          <w:rFonts w:hint="eastAsia" w:ascii="Times New Roman" w:hAnsi="Times New Roman"/>
          <w:color w:val="000000" w:themeColor="text1"/>
          <w:sz w:val="28"/>
          <w:szCs w:val="28"/>
          <w:highlight w:val="none"/>
          <w14:textFill>
            <w14:solidFill>
              <w14:schemeClr w14:val="tx1"/>
            </w14:solidFill>
          </w14:textFill>
        </w:rPr>
        <w:t>密集输电通道指宽度在600米以内、包含至少2回特高压直流线路或至少5回500千伏及以上输电线路通道（变电站出线段5公里范围内、交叉跨越除外），且故障全失造成以下后果之一：a）导致省级及以上电网损失负荷超过1000万千瓦（特高压故障）或500万千瓦（其他电压等级线路故障）；b）造成省级以上电网一般及以上电力安全事故；c）造成省级以上电网系统稳定破坏；d）对重要敏感地区供电造成较大影响。</w:t>
      </w:r>
    </w:p>
    <w:p w14:paraId="2C3F29CB">
      <w:pPr>
        <w:spacing w:line="560" w:lineRule="exact"/>
        <w:ind w:firstLine="560" w:firstLineChars="200"/>
        <w:rPr>
          <w:rFonts w:hint="eastAsia" w:ascii="Times New Roman" w:hAnsi="Times New Roman"/>
          <w:color w:val="000000" w:themeColor="text1"/>
          <w:sz w:val="28"/>
          <w:szCs w:val="28"/>
          <w:highlight w:val="none"/>
          <w14:textFill>
            <w14:solidFill>
              <w14:schemeClr w14:val="tx1"/>
            </w14:solidFill>
          </w14:textFill>
        </w:rPr>
      </w:pPr>
    </w:p>
    <w:p w14:paraId="0B48F49E">
      <w:pPr>
        <w:numPr>
          <w:ilvl w:val="0"/>
          <w:numId w:val="4"/>
        </w:numPr>
        <w:jc w:val="center"/>
        <w:outlineLvl w:val="0"/>
        <w:rPr>
          <w:rFonts w:ascii="Times New Roman" w:hAnsi="Times New Roman" w:eastAsia="黑体" w:cs="黑体"/>
          <w:color w:val="000000" w:themeColor="text1"/>
          <w:sz w:val="28"/>
          <w:szCs w:val="28"/>
          <w:highlight w:val="none"/>
          <w14:textFill>
            <w14:solidFill>
              <w14:schemeClr w14:val="tx1"/>
            </w14:solidFill>
          </w14:textFill>
        </w:rPr>
      </w:pPr>
      <w:bookmarkStart w:id="17" w:name="_Toc5994"/>
      <w:r>
        <w:rPr>
          <w:rFonts w:hint="eastAsia" w:ascii="Times New Roman" w:hAnsi="Times New Roman" w:eastAsia="黑体" w:cs="黑体"/>
          <w:color w:val="000000" w:themeColor="text1"/>
          <w:sz w:val="28"/>
          <w:szCs w:val="28"/>
          <w:highlight w:val="none"/>
          <w14:textFill>
            <w14:solidFill>
              <w14:schemeClr w14:val="tx1"/>
            </w14:solidFill>
          </w14:textFill>
        </w:rPr>
        <w:t>基本规定</w:t>
      </w:r>
      <w:bookmarkEnd w:id="17"/>
    </w:p>
    <w:p w14:paraId="23BA43E9">
      <w:pPr>
        <w:pStyle w:val="6"/>
        <w:numPr>
          <w:ilvl w:val="2"/>
          <w:numId w:val="4"/>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深圳电网规划设计电气计算应评价和比选规划设计方案，校核深圳电网安全稳定运行水平，研究限制短路电流的措施，选择主要电气设备技术参数等。</w:t>
      </w:r>
    </w:p>
    <w:p w14:paraId="3BCBF891">
      <w:pPr>
        <w:pStyle w:val="6"/>
        <w:numPr>
          <w:ilvl w:val="2"/>
          <w:numId w:val="4"/>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深圳电网电气计算类型宜包括：潮流计算、短路电流计算、稳定计算、无功补偿计算、调相调压计算、工频过电压及潜供电流计算。</w:t>
      </w:r>
    </w:p>
    <w:p w14:paraId="5230AA65">
      <w:pPr>
        <w:pStyle w:val="6"/>
        <w:numPr>
          <w:ilvl w:val="2"/>
          <w:numId w:val="4"/>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深圳电网规划设计各阶段需进行的电气计算应按下列规定选取：</w:t>
      </w:r>
    </w:p>
    <w:p w14:paraId="6CECA688">
      <w:pPr>
        <w:pStyle w:val="6"/>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ascii="Times New Roman" w:hAnsi="Times New Roman" w:eastAsia="宋体" w:cs="宋体"/>
          <w:color w:val="000000" w:themeColor="text1"/>
          <w:sz w:val="28"/>
          <w:szCs w:val="28"/>
          <w:highlight w:val="none"/>
          <w14:textFill>
            <w14:solidFill>
              <w14:schemeClr w14:val="tx1"/>
            </w14:solidFill>
          </w14:textFill>
        </w:rPr>
        <w:t xml:space="preserve">1 </w:t>
      </w:r>
      <w:r>
        <w:rPr>
          <w:rFonts w:hint="eastAsia" w:ascii="Times New Roman" w:hAnsi="Times New Roman" w:eastAsia="宋体" w:cs="宋体"/>
          <w:color w:val="000000" w:themeColor="text1"/>
          <w:sz w:val="28"/>
          <w:szCs w:val="28"/>
          <w:highlight w:val="none"/>
          <w14:textFill>
            <w14:solidFill>
              <w14:schemeClr w14:val="tx1"/>
            </w14:solidFill>
          </w14:textFill>
        </w:rPr>
        <w:t>近期规划（5年及以内）应包括潮流、稳定、短路电流计算，必要时进行调相调压、工频过电压、潜供电流计算；</w:t>
      </w:r>
    </w:p>
    <w:p w14:paraId="70EB384D">
      <w:pPr>
        <w:pStyle w:val="6"/>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w:t>
      </w:r>
      <w:r>
        <w:rPr>
          <w:rFonts w:ascii="Times New Roman" w:hAnsi="Times New Roman" w:eastAsia="宋体" w:cs="宋体"/>
          <w:color w:val="000000" w:themeColor="text1"/>
          <w:sz w:val="28"/>
          <w:szCs w:val="28"/>
          <w:highlight w:val="none"/>
          <w14:textFill>
            <w14:solidFill>
              <w14:schemeClr w14:val="tx1"/>
            </w14:solidFill>
          </w14:textFill>
        </w:rPr>
        <w:t xml:space="preserve"> </w:t>
      </w:r>
      <w:r>
        <w:rPr>
          <w:rFonts w:hint="eastAsia" w:ascii="Times New Roman" w:hAnsi="Times New Roman" w:eastAsia="宋体" w:cs="宋体"/>
          <w:color w:val="000000" w:themeColor="text1"/>
          <w:sz w:val="28"/>
          <w:szCs w:val="28"/>
          <w:highlight w:val="none"/>
          <w14:textFill>
            <w14:solidFill>
              <w14:schemeClr w14:val="tx1"/>
            </w14:solidFill>
          </w14:textFill>
        </w:rPr>
        <w:t>中期规划（5年</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ascii="Times New Roman" w:hAnsi="Times New Roman" w:eastAsia="宋体" w:cs="宋体"/>
          <w:color w:val="000000" w:themeColor="text1"/>
          <w:sz w:val="28"/>
          <w:szCs w:val="28"/>
          <w:highlight w:val="none"/>
          <w14:textFill>
            <w14:solidFill>
              <w14:schemeClr w14:val="tx1"/>
            </w14:solidFill>
          </w14:textFill>
        </w:rPr>
        <w:t>15</w:t>
      </w:r>
      <w:r>
        <w:rPr>
          <w:rFonts w:hint="eastAsia" w:ascii="Times New Roman" w:hAnsi="Times New Roman" w:eastAsia="宋体" w:cs="宋体"/>
          <w:color w:val="000000" w:themeColor="text1"/>
          <w:sz w:val="28"/>
          <w:szCs w:val="28"/>
          <w:highlight w:val="none"/>
          <w14:textFill>
            <w14:solidFill>
              <w14:schemeClr w14:val="tx1"/>
            </w14:solidFill>
          </w14:textFill>
        </w:rPr>
        <w:t>年）应包括潮流、稳定、短路电流计算，必要时进行调相调压计算；</w:t>
      </w:r>
    </w:p>
    <w:p w14:paraId="42000F54">
      <w:pPr>
        <w:pStyle w:val="6"/>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ascii="Times New Roman" w:hAnsi="Times New Roman" w:eastAsia="宋体" w:cs="宋体"/>
          <w:color w:val="000000" w:themeColor="text1"/>
          <w:sz w:val="28"/>
          <w:szCs w:val="28"/>
          <w:highlight w:val="none"/>
          <w14:textFill>
            <w14:solidFill>
              <w14:schemeClr w14:val="tx1"/>
            </w14:solidFill>
          </w14:textFill>
        </w:rPr>
        <w:t xml:space="preserve">3 </w:t>
      </w:r>
      <w:r>
        <w:rPr>
          <w:rFonts w:hint="eastAsia" w:ascii="Times New Roman" w:hAnsi="Times New Roman" w:eastAsia="宋体" w:cs="宋体"/>
          <w:color w:val="000000" w:themeColor="text1"/>
          <w:sz w:val="28"/>
          <w:szCs w:val="28"/>
          <w:highlight w:val="none"/>
          <w14:textFill>
            <w14:solidFill>
              <w14:schemeClr w14:val="tx1"/>
            </w14:solidFill>
          </w14:textFill>
        </w:rPr>
        <w:t>长期规划（</w:t>
      </w:r>
      <w:r>
        <w:rPr>
          <w:rFonts w:ascii="Times New Roman" w:hAnsi="Times New Roman" w:eastAsia="宋体" w:cs="宋体"/>
          <w:color w:val="000000" w:themeColor="text1"/>
          <w:sz w:val="28"/>
          <w:szCs w:val="28"/>
          <w:highlight w:val="none"/>
          <w14:textFill>
            <w14:solidFill>
              <w14:schemeClr w14:val="tx1"/>
            </w14:solidFill>
          </w14:textFill>
        </w:rPr>
        <w:t>15</w:t>
      </w:r>
      <w:r>
        <w:rPr>
          <w:rFonts w:hint="eastAsia" w:ascii="Times New Roman" w:hAnsi="Times New Roman" w:eastAsia="宋体" w:cs="宋体"/>
          <w:color w:val="000000" w:themeColor="text1"/>
          <w:sz w:val="28"/>
          <w:szCs w:val="28"/>
          <w:highlight w:val="none"/>
          <w14:textFill>
            <w14:solidFill>
              <w14:schemeClr w14:val="tx1"/>
            </w14:solidFill>
          </w14:textFill>
        </w:rPr>
        <w:t>年以上）视情况进行必要的潮流、稳定、短路电流计算；</w:t>
      </w:r>
    </w:p>
    <w:p w14:paraId="3BC6CE80">
      <w:pPr>
        <w:pStyle w:val="6"/>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4 系统设计阶段开展的电气计算应满足目标网架构建、安全稳定校核及配套系统规划等内容的深度规定；</w:t>
      </w:r>
    </w:p>
    <w:p w14:paraId="5B10026A">
      <w:pPr>
        <w:pStyle w:val="6"/>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5 工程设计各阶段的电气计算应符合相应内容深度规定；</w:t>
      </w:r>
    </w:p>
    <w:p w14:paraId="7DA2AC79">
      <w:pPr>
        <w:pStyle w:val="6"/>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6</w:t>
      </w:r>
      <w:r>
        <w:rPr>
          <w:rFonts w:ascii="Times New Roman" w:hAnsi="Times New Roman" w:eastAsia="宋体" w:cs="宋体"/>
          <w:color w:val="000000" w:themeColor="text1"/>
          <w:sz w:val="28"/>
          <w:szCs w:val="28"/>
          <w:highlight w:val="none"/>
          <w14:textFill>
            <w14:solidFill>
              <w14:schemeClr w14:val="tx1"/>
            </w14:solidFill>
          </w14:textFill>
        </w:rPr>
        <w:t xml:space="preserve"> </w:t>
      </w:r>
      <w:r>
        <w:rPr>
          <w:rFonts w:hint="eastAsia" w:ascii="Times New Roman" w:hAnsi="Times New Roman" w:eastAsia="宋体" w:cs="宋体"/>
          <w:color w:val="000000" w:themeColor="text1"/>
          <w:sz w:val="28"/>
          <w:szCs w:val="28"/>
          <w:highlight w:val="none"/>
          <w14:textFill>
            <w14:solidFill>
              <w14:schemeClr w14:val="tx1"/>
            </w14:solidFill>
          </w14:textFill>
        </w:rPr>
        <w:t>专题研究的电气计算可根据研究目的和对象选择。</w:t>
      </w:r>
    </w:p>
    <w:p w14:paraId="5BBB653C">
      <w:pPr>
        <w:pStyle w:val="6"/>
        <w:numPr>
          <w:ilvl w:val="2"/>
          <w:numId w:val="4"/>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应根据计算分析的目的，针对深圳电网实际运行中可能出现的情况设定系统接线和运行方式。</w:t>
      </w:r>
    </w:p>
    <w:p w14:paraId="276780F6">
      <w:pPr>
        <w:pStyle w:val="6"/>
        <w:numPr>
          <w:ilvl w:val="2"/>
          <w:numId w:val="4"/>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电网规划方案应满足现行国家标准《电力系统安全稳定导则》中各项安全稳定的标准。稳定计算要求和判据参照《电力系统安全稳定计算规范》、《南方电网安全稳定计算分析导则》。</w:t>
      </w:r>
    </w:p>
    <w:p w14:paraId="64BF8F3F">
      <w:pPr>
        <w:pStyle w:val="6"/>
        <w:numPr>
          <w:ilvl w:val="2"/>
          <w:numId w:val="4"/>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在大电网安全稳定分析中，为了准确仿真交直流系统的相互影响，必要时应开展电磁暂态—机电暂态混合仿真或全电磁暂态仿真。</w:t>
      </w:r>
    </w:p>
    <w:p w14:paraId="39B0EE55">
      <w:pPr>
        <w:bidi w:val="0"/>
        <w:rPr>
          <w:rFonts w:ascii="Times New Roman" w:hAnsi="Times New Roman"/>
          <w:color w:val="000000" w:themeColor="text1"/>
          <w:highlight w:val="none"/>
          <w14:textFill>
            <w14:solidFill>
              <w14:schemeClr w14:val="tx1"/>
            </w14:solidFill>
          </w14:textFill>
        </w:rPr>
      </w:pPr>
    </w:p>
    <w:p w14:paraId="7CE6AFD2">
      <w:pPr>
        <w:numPr>
          <w:ilvl w:val="0"/>
          <w:numId w:val="4"/>
        </w:numPr>
        <w:jc w:val="center"/>
        <w:outlineLvl w:val="0"/>
        <w:rPr>
          <w:rFonts w:ascii="Times New Roman" w:hAnsi="Times New Roman" w:eastAsia="黑体" w:cs="黑体"/>
          <w:color w:val="000000" w:themeColor="text1"/>
          <w:sz w:val="28"/>
          <w:szCs w:val="28"/>
          <w:highlight w:val="none"/>
          <w14:textFill>
            <w14:solidFill>
              <w14:schemeClr w14:val="tx1"/>
            </w14:solidFill>
          </w14:textFill>
        </w:rPr>
      </w:pPr>
      <w:bookmarkStart w:id="18" w:name="_Toc1659"/>
      <w:r>
        <w:rPr>
          <w:rFonts w:hint="eastAsia" w:ascii="Times New Roman" w:hAnsi="Times New Roman" w:eastAsia="黑体" w:cs="黑体"/>
          <w:color w:val="000000" w:themeColor="text1"/>
          <w:sz w:val="28"/>
          <w:szCs w:val="28"/>
          <w:highlight w:val="none"/>
          <w14:textFill>
            <w14:solidFill>
              <w14:schemeClr w14:val="tx1"/>
            </w14:solidFill>
          </w14:textFill>
        </w:rPr>
        <w:t>计算数据</w:t>
      </w:r>
      <w:bookmarkEnd w:id="18"/>
    </w:p>
    <w:p w14:paraId="38F4020D">
      <w:pPr>
        <w:pStyle w:val="6"/>
        <w:numPr>
          <w:ilvl w:val="1"/>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一般规定</w:t>
      </w:r>
    </w:p>
    <w:p w14:paraId="03FF82D2">
      <w:pPr>
        <w:pStyle w:val="6"/>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电气计算分析前应确定的基础条件包括电力系统接线和运行方式、电力系统各元件及其控制系统的模型和参数、负荷模型和参数、故障类型和故障切除时间、重合闸动作时间、继电保护和安全自动装置的模型和动作时间等。</w:t>
      </w:r>
    </w:p>
    <w:p w14:paraId="7C4A5A73">
      <w:pPr>
        <w:pStyle w:val="6"/>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电气计算应明确采用的计算条件、计算方法及结果分析的判定标准。对于已完成参数实测的元件和控制装置，应采用实测模型和参数；对于已投产但尚未完成参数实测或尚未投产的元件和控制装置，应采用制造厂家提供的出厂模型和参数，或参照经过实测的同类型设备，选用合适的模型和参数。必要时，考虑分布式新能源等值建模对电气计算校核的影响。</w:t>
      </w:r>
    </w:p>
    <w:p w14:paraId="4B7CD567">
      <w:pPr>
        <w:pStyle w:val="6"/>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根据深圳最新电网规划、系统设计及电网工程建设情况，定期更新维护深圳电网电气计算数据。</w:t>
      </w:r>
    </w:p>
    <w:p w14:paraId="0F13B25A">
      <w:pPr>
        <w:pStyle w:val="6"/>
        <w:numPr>
          <w:ilvl w:val="1"/>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典型电网方式选取</w:t>
      </w:r>
    </w:p>
    <w:p w14:paraId="01ADE9AF">
      <w:pPr>
        <w:pStyle w:val="6"/>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深圳电网规划及系统设计的计算数据包括夏季最大运行方式、夏季腰荷运行方式、夏季最小运行方式、冬季最大运行方式、冬季腰荷运行方式、冬季最小运行方式等6套典型计算数据（简称夏大方式、夏腰方式、夏小方式、冬大方式、冬腰方式、冬小方式），一般以夏季最大运行方式数据为主，可根据实际需要选择其他典型数据开展分析计算。</w:t>
      </w:r>
    </w:p>
    <w:p w14:paraId="44A3045C">
      <w:pPr>
        <w:pStyle w:val="6"/>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针对潜在危害电力系统安全性或经济性、靠近或越过电力系统安全边界且发生概率较小的极端场景，可根据需要选取特殊电网方式。特殊电网方式适用于电力系统规划中主要考虑电力系统安全性的问题研究。特殊电网方式的选取宜满足现行行业标准《新能源高占比电力系统规划阶段电网方式选取技术规范》DL/T 2674。</w:t>
      </w:r>
    </w:p>
    <w:p w14:paraId="2B870F52">
      <w:pPr>
        <w:pStyle w:val="6"/>
        <w:spacing w:line="400" w:lineRule="exact"/>
        <w:rPr>
          <w:rFonts w:hint="eastAsia" w:ascii="Times New Roman" w:hAnsi="Times New Roman" w:eastAsiaTheme="minorEastAsia"/>
          <w:color w:val="000000" w:themeColor="text1"/>
          <w:highlight w:val="none"/>
          <w:lang w:eastAsia="zh-CN"/>
          <w14:textFill>
            <w14:solidFill>
              <w14:schemeClr w14:val="tx1"/>
            </w14:solidFill>
          </w14:textFill>
        </w:rPr>
      </w:pPr>
    </w:p>
    <w:p w14:paraId="21EDF6C1">
      <w:pPr>
        <w:numPr>
          <w:ilvl w:val="0"/>
          <w:numId w:val="5"/>
        </w:numPr>
        <w:jc w:val="center"/>
        <w:outlineLvl w:val="0"/>
        <w:rPr>
          <w:rFonts w:ascii="Times New Roman" w:hAnsi="Times New Roman" w:eastAsia="黑体" w:cs="黑体"/>
          <w:color w:val="000000" w:themeColor="text1"/>
          <w:sz w:val="28"/>
          <w:szCs w:val="28"/>
          <w:highlight w:val="none"/>
          <w14:textFill>
            <w14:solidFill>
              <w14:schemeClr w14:val="tx1"/>
            </w14:solidFill>
          </w14:textFill>
        </w:rPr>
      </w:pPr>
      <w:bookmarkStart w:id="19" w:name="_Toc13986"/>
      <w:r>
        <w:rPr>
          <w:rFonts w:hint="eastAsia" w:ascii="Times New Roman" w:hAnsi="Times New Roman" w:eastAsia="黑体" w:cs="黑体"/>
          <w:color w:val="000000" w:themeColor="text1"/>
          <w:sz w:val="28"/>
          <w:szCs w:val="28"/>
          <w:highlight w:val="none"/>
          <w14:textFill>
            <w14:solidFill>
              <w14:schemeClr w14:val="tx1"/>
            </w14:solidFill>
          </w14:textFill>
        </w:rPr>
        <w:t>潮流计算</w:t>
      </w:r>
      <w:bookmarkEnd w:id="19"/>
    </w:p>
    <w:p w14:paraId="65F69CE7">
      <w:pPr>
        <w:pStyle w:val="6"/>
        <w:numPr>
          <w:ilvl w:val="1"/>
          <w:numId w:val="6"/>
        </w:numPr>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计算目的</w:t>
      </w:r>
    </w:p>
    <w:p w14:paraId="37FE5EF0">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潮流计算应为比较规划设计网络方案，检验电网结构，选择导线截面，确定电气设备的主要技术规范等提供依据。</w:t>
      </w:r>
    </w:p>
    <w:p w14:paraId="3B246900">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深圳电网潮流计算主要关注深圳电网220kV及以上输电线路、厂站（含变电站、电厂等）内主变的潮流重载情况及母线电压情况。</w:t>
      </w:r>
    </w:p>
    <w:p w14:paraId="415970A8">
      <w:pPr>
        <w:pStyle w:val="6"/>
        <w:numPr>
          <w:ilvl w:val="1"/>
          <w:numId w:val="6"/>
        </w:numPr>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计算方式</w:t>
      </w:r>
    </w:p>
    <w:p w14:paraId="5A11DFA0">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应对规划设计水平年夏季最大运行方式负荷进行计算，必要时可对夏腰</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方式</w:t>
      </w:r>
      <w:r>
        <w:rPr>
          <w:rFonts w:hint="eastAsia" w:ascii="Times New Roman" w:hAnsi="Times New Roman" w:eastAsia="宋体" w:cs="宋体"/>
          <w:color w:val="000000" w:themeColor="text1"/>
          <w:sz w:val="28"/>
          <w:szCs w:val="28"/>
          <w:highlight w:val="none"/>
          <w14:textFill>
            <w14:solidFill>
              <w14:schemeClr w14:val="tx1"/>
            </w14:solidFill>
          </w14:textFill>
        </w:rPr>
        <w:t>、夏小</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方式</w:t>
      </w:r>
      <w:r>
        <w:rPr>
          <w:rFonts w:hint="eastAsia" w:ascii="Times New Roman" w:hAnsi="Times New Roman" w:eastAsia="宋体" w:cs="宋体"/>
          <w:color w:val="000000" w:themeColor="text1"/>
          <w:sz w:val="28"/>
          <w:szCs w:val="28"/>
          <w:highlight w:val="none"/>
          <w14:textFill>
            <w14:solidFill>
              <w14:schemeClr w14:val="tx1"/>
            </w14:solidFill>
          </w14:textFill>
        </w:rPr>
        <w:t>、冬大</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方式</w:t>
      </w:r>
      <w:r>
        <w:rPr>
          <w:rFonts w:hint="eastAsia" w:ascii="Times New Roman" w:hAnsi="Times New Roman" w:eastAsia="宋体" w:cs="宋体"/>
          <w:color w:val="000000" w:themeColor="text1"/>
          <w:sz w:val="28"/>
          <w:szCs w:val="28"/>
          <w:highlight w:val="none"/>
          <w14:textFill>
            <w14:solidFill>
              <w14:schemeClr w14:val="tx1"/>
            </w14:solidFill>
          </w14:textFill>
        </w:rPr>
        <w:t>、冬腰</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方式</w:t>
      </w:r>
      <w:r>
        <w:rPr>
          <w:rFonts w:hint="eastAsia" w:ascii="Times New Roman" w:hAnsi="Times New Roman" w:eastAsia="宋体" w:cs="宋体"/>
          <w:color w:val="000000" w:themeColor="text1"/>
          <w:sz w:val="28"/>
          <w:szCs w:val="28"/>
          <w:highlight w:val="none"/>
          <w14:textFill>
            <w14:solidFill>
              <w14:schemeClr w14:val="tx1"/>
            </w14:solidFill>
          </w14:textFill>
        </w:rPr>
        <w:t>、冬小</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方式</w:t>
      </w:r>
      <w:r>
        <w:rPr>
          <w:rFonts w:hint="eastAsia" w:ascii="Times New Roman" w:hAnsi="Times New Roman" w:eastAsia="宋体" w:cs="宋体"/>
          <w:color w:val="000000" w:themeColor="text1"/>
          <w:sz w:val="28"/>
          <w:szCs w:val="28"/>
          <w:highlight w:val="none"/>
          <w14:textFill>
            <w14:solidFill>
              <w14:schemeClr w14:val="tx1"/>
            </w14:solidFill>
          </w14:textFill>
        </w:rPr>
        <w:t>进行计算，并进行N-1、</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同塔双回</w:t>
      </w:r>
      <w:r>
        <w:rPr>
          <w:rFonts w:hint="eastAsia" w:ascii="Times New Roman" w:hAnsi="Times New Roman" w:eastAsia="宋体" w:cs="宋体"/>
          <w:color w:val="000000" w:themeColor="text1"/>
          <w:sz w:val="28"/>
          <w:szCs w:val="28"/>
          <w:highlight w:val="none"/>
          <w14:textFill>
            <w14:solidFill>
              <w14:schemeClr w14:val="tx1"/>
            </w14:solidFill>
          </w14:textFill>
        </w:rPr>
        <w:t>线路N-2校核。</w:t>
      </w:r>
    </w:p>
    <w:p w14:paraId="6A67E644">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独立电化学储能电站接入220kV电压等级的系统，应对储能电站满功率充电、放电工况进行计算。</w:t>
      </w:r>
    </w:p>
    <w:p w14:paraId="3C2BCA1D">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对于常规电源与新能源打捆送出断面，应选取常规电源顶峰发电、新能源按有效容量出力方式进行校核。</w:t>
      </w:r>
    </w:p>
    <w:p w14:paraId="61DD0095">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对于电厂送出线路，应选取电厂出力满发的方式进行线路重载判断。</w:t>
      </w:r>
    </w:p>
    <w:p w14:paraId="17D6E2D2">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对于直流输电等外区电力主要送入通道，应针对主要送电方式进行计算。</w:t>
      </w:r>
    </w:p>
    <w:p w14:paraId="37FBC4C1">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系统备用容量的分配应考虑电源及网络结构特点，并结合计算的具体目的合理安排，具体应遵循《深圳供电局有限公司110kV及以上电网规划设计技术实施细则（系统一次部分）》中的相关条款要求。</w:t>
      </w:r>
    </w:p>
    <w:p w14:paraId="529F3D45">
      <w:pPr>
        <w:pStyle w:val="6"/>
        <w:numPr>
          <w:ilvl w:val="1"/>
          <w:numId w:val="6"/>
        </w:numPr>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计算结果要求</w:t>
      </w:r>
    </w:p>
    <w:p w14:paraId="5C35B996">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正常运行方式下，深圳电力系统中任一元件（如线路、发电机、变压器等）不应过载，并满足N-1、</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同塔双回</w:t>
      </w:r>
      <w:r>
        <w:rPr>
          <w:rFonts w:hint="eastAsia" w:ascii="Times New Roman" w:hAnsi="Times New Roman" w:eastAsia="宋体" w:cs="宋体"/>
          <w:color w:val="000000" w:themeColor="text1"/>
          <w:sz w:val="28"/>
          <w:szCs w:val="28"/>
          <w:highlight w:val="none"/>
          <w14:textFill>
            <w14:solidFill>
              <w14:schemeClr w14:val="tx1"/>
            </w14:solidFill>
          </w14:textFill>
        </w:rPr>
        <w:t>线路N-2要求，电网潮流分布及电力流向合理。</w:t>
      </w:r>
    </w:p>
    <w:p w14:paraId="01A63E8C">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作为平衡节点的发电机的有功功率及无功功率不应超出正常范围。</w:t>
      </w:r>
    </w:p>
    <w:p w14:paraId="48BA51D9">
      <w:pPr>
        <w:numPr>
          <w:ilvl w:val="2"/>
          <w:numId w:val="6"/>
        </w:numPr>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正常和事故后运行方式下的系统运行电压水平应符合现行标准《电力系统电压和无功电力技术导则》GB/T 40427和《电力系统无功补偿及调压设计技术导则》DL/T 5554的规定。</w:t>
      </w:r>
    </w:p>
    <w:p w14:paraId="55A2ACC3">
      <w:pPr>
        <w:jc w:val="center"/>
        <w:rPr>
          <w:rFonts w:ascii="Times New Roman" w:hAnsi="Times New Roman" w:eastAsia="黑体" w:cs="黑体"/>
          <w:color w:val="000000" w:themeColor="text1"/>
          <w:sz w:val="28"/>
          <w:szCs w:val="28"/>
          <w:highlight w:val="none"/>
          <w14:textFill>
            <w14:solidFill>
              <w14:schemeClr w14:val="tx1"/>
            </w14:solidFill>
          </w14:textFill>
        </w:rPr>
      </w:pPr>
    </w:p>
    <w:p w14:paraId="26F375F2">
      <w:pPr>
        <w:numPr>
          <w:ilvl w:val="0"/>
          <w:numId w:val="5"/>
        </w:numPr>
        <w:jc w:val="center"/>
        <w:outlineLvl w:val="0"/>
        <w:rPr>
          <w:rFonts w:ascii="Times New Roman" w:hAnsi="Times New Roman" w:eastAsia="黑体" w:cs="黑体"/>
          <w:color w:val="000000" w:themeColor="text1"/>
          <w:sz w:val="28"/>
          <w:szCs w:val="28"/>
          <w:highlight w:val="none"/>
          <w14:textFill>
            <w14:solidFill>
              <w14:schemeClr w14:val="tx1"/>
            </w14:solidFill>
          </w14:textFill>
        </w:rPr>
      </w:pPr>
      <w:bookmarkStart w:id="20" w:name="_Toc5003"/>
      <w:r>
        <w:rPr>
          <w:rFonts w:hint="eastAsia" w:ascii="Times New Roman" w:hAnsi="Times New Roman" w:eastAsia="黑体" w:cs="黑体"/>
          <w:color w:val="000000" w:themeColor="text1"/>
          <w:sz w:val="28"/>
          <w:szCs w:val="28"/>
          <w:highlight w:val="none"/>
          <w14:textFill>
            <w14:solidFill>
              <w14:schemeClr w14:val="tx1"/>
            </w14:solidFill>
          </w14:textFill>
        </w:rPr>
        <w:t>短路电流计算</w:t>
      </w:r>
      <w:bookmarkEnd w:id="20"/>
    </w:p>
    <w:p w14:paraId="65007F48">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计算目的</w:t>
      </w:r>
    </w:p>
    <w:p w14:paraId="5F1FDA1A">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计算深圳电网各厂站的最大短路电流，以检验深圳电网的短路电流水平是否在开关设备的开断能力之内，确保在电网设备发生短路故障时开关设备能可靠切断短路电流，隔离故障元件。</w:t>
      </w:r>
    </w:p>
    <w:p w14:paraId="63FEF554">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当深圳电网短路电流水平超过断路器遮断容量时，应研究限制系统短路电流水平的措施。</w:t>
      </w:r>
    </w:p>
    <w:p w14:paraId="47168835">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计算方式</w:t>
      </w:r>
    </w:p>
    <w:p w14:paraId="73ECE4F9">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短路电流应按现行行业标准《三相交流系统短路电流计算第1部分：电流计算》GB/T 15544.1规定的等效电压源法计算，该方法不依赖于特定的潮流方式。</w:t>
      </w:r>
    </w:p>
    <w:p w14:paraId="27694A3C">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短路电流计算分析包括短路电流交流分量计算分析、计及直流分量的短路电流计算分析。</w:t>
      </w:r>
    </w:p>
    <w:p w14:paraId="7609C46C">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短路故障形式应分别考虑三相短路、单相接地短路，应考虑金属性短路。</w:t>
      </w:r>
    </w:p>
    <w:p w14:paraId="62191838">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短路电流计算应在正常方式全接线、全开机条件下采用不基于潮流的方法进行，考虑新能源、STATCOM、柔性直流输电等设备的贡献。</w:t>
      </w:r>
    </w:p>
    <w:p w14:paraId="11145097">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最短开断时间取0周波。</w:t>
      </w:r>
    </w:p>
    <w:p w14:paraId="3BFD5244">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计算结果要求</w:t>
      </w:r>
    </w:p>
    <w:p w14:paraId="0049CC28">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母线短路电流超标情况按照厂站进行统计，同一厂站同一电压等级取所有母线所有故障类型下交流分量有效值超标最严重的情况进行统计。</w:t>
      </w:r>
    </w:p>
    <w:p w14:paraId="2A29B8A7">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考虑110kV及以下电网、电动机负荷等因素引起的计算误差，短路电流交流分量计算应留有2kA的裕度。</w:t>
      </w:r>
    </w:p>
    <w:p w14:paraId="1D9DB943">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计算短路电流直流分量时间常数Tdc值，考虑开关直流分量衰减时间的典型常数设计值为45ms，折算开关实际的开断能力，评估系统短路电流直流分量时间常数对开关开断能力的影响。</w:t>
      </w:r>
    </w:p>
    <w:p w14:paraId="46D8F1FE">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短路电流水平不满足要求时，在规划设计阶段应采取合理的限流措施，包括优化电网结构、合理选择电气设备、在合理范围内增大系统零序阻抗以限制单相短路电流等。</w:t>
      </w:r>
    </w:p>
    <w:p w14:paraId="18A21508">
      <w:pPr>
        <w:numPr>
          <w:ilvl w:val="0"/>
          <w:numId w:val="0"/>
        </w:numPr>
        <w:tabs>
          <w:tab w:val="left" w:pos="0"/>
        </w:tabs>
        <w:ind w:leftChars="0"/>
        <w:rPr>
          <w:rFonts w:ascii="Times New Roman" w:hAnsi="Times New Roman" w:eastAsia="宋体" w:cs="宋体"/>
          <w:color w:val="000000" w:themeColor="text1"/>
          <w:sz w:val="28"/>
          <w:szCs w:val="28"/>
          <w:highlight w:val="none"/>
          <w14:textFill>
            <w14:solidFill>
              <w14:schemeClr w14:val="tx1"/>
            </w14:solidFill>
          </w14:textFill>
        </w:rPr>
      </w:pPr>
    </w:p>
    <w:p w14:paraId="2357F32D">
      <w:pPr>
        <w:numPr>
          <w:ilvl w:val="0"/>
          <w:numId w:val="5"/>
        </w:numPr>
        <w:jc w:val="center"/>
        <w:outlineLvl w:val="0"/>
        <w:rPr>
          <w:rFonts w:ascii="Times New Roman" w:hAnsi="Times New Roman" w:eastAsia="黑体" w:cs="黑体"/>
          <w:color w:val="000000" w:themeColor="text1"/>
          <w:sz w:val="28"/>
          <w:szCs w:val="28"/>
          <w:highlight w:val="none"/>
          <w14:textFill>
            <w14:solidFill>
              <w14:schemeClr w14:val="tx1"/>
            </w14:solidFill>
          </w14:textFill>
        </w:rPr>
      </w:pPr>
      <w:bookmarkStart w:id="21" w:name="_Toc17503"/>
      <w:r>
        <w:rPr>
          <w:rFonts w:hint="eastAsia" w:ascii="Times New Roman" w:hAnsi="Times New Roman" w:eastAsia="黑体" w:cs="黑体"/>
          <w:color w:val="000000" w:themeColor="text1"/>
          <w:sz w:val="28"/>
          <w:szCs w:val="28"/>
          <w:highlight w:val="none"/>
          <w14:textFill>
            <w14:solidFill>
              <w14:schemeClr w14:val="tx1"/>
            </w14:solidFill>
          </w14:textFill>
        </w:rPr>
        <w:t>稳定计算</w:t>
      </w:r>
      <w:bookmarkEnd w:id="21"/>
    </w:p>
    <w:p w14:paraId="0018CF75">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计算目的</w:t>
      </w:r>
    </w:p>
    <w:p w14:paraId="52DB6144">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电力系统安全稳定计算分析的目的是通过对电力系统进行详细的仿真计算和分析研究，确定系统稳定问题的主要特征和稳定水平，提出提高系统稳定运行水平的措施和保证系统安全稳定运行的控制策略。</w:t>
      </w:r>
    </w:p>
    <w:p w14:paraId="452F5C86">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稳定计算应检验电网结构和运行参数是否满足系统稳定运行的要求、输电通道送电功率极限能否满足输电容量需要，确定电力系统的稳定水平，分析是否需要改进电网结构、改变运行参数或提出其他提高稳定性的措施。</w:t>
      </w:r>
    </w:p>
    <w:p w14:paraId="44FD5A98">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计算基础</w:t>
      </w:r>
    </w:p>
    <w:p w14:paraId="468951DC">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稳定计算以机电暂态仿真为主，必要时采用机电-电磁暂态混合仿真或全电磁暂态仿真校核。</w:t>
      </w:r>
    </w:p>
    <w:p w14:paraId="78C33866">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进行密集通道、交叉跨越故障计算时，稳定计算文件中应包含各道防线的</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模型</w:t>
      </w:r>
      <w:r>
        <w:rPr>
          <w:rFonts w:hint="eastAsia" w:ascii="Times New Roman" w:hAnsi="Times New Roman" w:eastAsia="宋体" w:cs="宋体"/>
          <w:color w:val="000000" w:themeColor="text1"/>
          <w:sz w:val="28"/>
          <w:szCs w:val="28"/>
          <w:highlight w:val="none"/>
          <w14:textFill>
            <w14:solidFill>
              <w14:schemeClr w14:val="tx1"/>
            </w14:solidFill>
          </w14:textFill>
        </w:rPr>
        <w:t>。</w:t>
      </w:r>
    </w:p>
    <w:p w14:paraId="74578FA5">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深圳电网旋转备用应遵循《深圳供电局有限公司110kV及以上电网规划设计技术实施细则（系统一次部分）》中的相关条款要求。研究系统频率稳定时，应综合考虑系统惯量和一次调频影响，设置对系统频率稳定较为不利的旋转备用。</w:t>
      </w:r>
    </w:p>
    <w:p w14:paraId="5E2EB10A">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计算方式</w:t>
      </w:r>
    </w:p>
    <w:p w14:paraId="404AAF77">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根据计算目的和校验对象，选取有代表性的方式和对系统较不利的方式进行计算。</w:t>
      </w:r>
    </w:p>
    <w:p w14:paraId="0C3A321D">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1 500千伏电厂送出线路进行N-1、N-2校核时，宜将该机组出力调至满发，可设定机端电压为</w:t>
      </w:r>
      <w:r>
        <w:rPr>
          <w:rFonts w:ascii="Times New Roman" w:hAnsi="Times New Roman" w:eastAsia="宋体" w:cs="宋体"/>
          <w:color w:val="000000" w:themeColor="text1"/>
          <w:sz w:val="28"/>
          <w:szCs w:val="28"/>
          <w:highlight w:val="none"/>
          <w14:textFill>
            <w14:solidFill>
              <w14:schemeClr w14:val="tx1"/>
            </w14:solidFill>
          </w14:textFill>
        </w:rPr>
        <w:t>0.98p.u.；对于5</w:t>
      </w:r>
      <w:r>
        <w:rPr>
          <w:rFonts w:hint="eastAsia" w:ascii="Times New Roman" w:hAnsi="Times New Roman" w:eastAsia="宋体" w:cs="宋体"/>
          <w:color w:val="000000" w:themeColor="text1"/>
          <w:sz w:val="28"/>
          <w:szCs w:val="28"/>
          <w:highlight w:val="none"/>
          <w14:textFill>
            <w14:solidFill>
              <w14:schemeClr w14:val="tx1"/>
            </w14:solidFill>
          </w14:textFill>
        </w:rPr>
        <w:t>00千伏非电厂送出线路进行N-1、N-2校核时，应基于通道或断面极限输电方式进行仿真。</w:t>
      </w:r>
    </w:p>
    <w:p w14:paraId="2FA139C2">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 直流闭锁故障计算时，应调整直流至满送，且送受端电厂开机出力与直流功率匹配。</w:t>
      </w:r>
    </w:p>
    <w:p w14:paraId="57319C4B">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ascii="Times New Roman" w:hAnsi="Times New Roman" w:eastAsia="宋体" w:cs="宋体"/>
          <w:color w:val="000000" w:themeColor="text1"/>
          <w:sz w:val="28"/>
          <w:szCs w:val="28"/>
          <w:highlight w:val="none"/>
          <w14:textFill>
            <w14:solidFill>
              <w14:schemeClr w14:val="tx1"/>
            </w14:solidFill>
          </w14:textFill>
        </w:rPr>
        <w:t xml:space="preserve">3 </w:t>
      </w:r>
      <w:r>
        <w:rPr>
          <w:rFonts w:hint="eastAsia" w:ascii="Times New Roman" w:hAnsi="Times New Roman" w:eastAsia="宋体" w:cs="宋体"/>
          <w:color w:val="000000" w:themeColor="text1"/>
          <w:sz w:val="28"/>
          <w:szCs w:val="28"/>
          <w:highlight w:val="none"/>
          <w14:textFill>
            <w14:solidFill>
              <w14:schemeClr w14:val="tx1"/>
            </w14:solidFill>
          </w14:textFill>
        </w:rPr>
        <w:t>特殊通道故障、</w:t>
      </w:r>
      <w:r>
        <w:rPr>
          <w:rFonts w:ascii="Times New Roman" w:hAnsi="Times New Roman" w:eastAsia="宋体" w:cs="宋体"/>
          <w:color w:val="000000" w:themeColor="text1"/>
          <w:sz w:val="28"/>
          <w:szCs w:val="28"/>
          <w:highlight w:val="none"/>
          <w14:textFill>
            <w14:solidFill>
              <w14:schemeClr w14:val="tx1"/>
            </w14:solidFill>
          </w14:textFill>
        </w:rPr>
        <w:t>交叉跨越故障计算</w:t>
      </w:r>
      <w:r>
        <w:rPr>
          <w:rFonts w:hint="eastAsia" w:ascii="Times New Roman" w:hAnsi="Times New Roman" w:eastAsia="宋体" w:cs="宋体"/>
          <w:color w:val="000000" w:themeColor="text1"/>
          <w:sz w:val="28"/>
          <w:szCs w:val="28"/>
          <w:highlight w:val="none"/>
          <w14:textFill>
            <w14:solidFill>
              <w14:schemeClr w14:val="tx1"/>
            </w14:solidFill>
          </w14:textFill>
        </w:rPr>
        <w:t>时，</w:t>
      </w:r>
      <w:r>
        <w:rPr>
          <w:rFonts w:ascii="Times New Roman" w:hAnsi="Times New Roman" w:eastAsia="宋体" w:cs="宋体"/>
          <w:color w:val="000000" w:themeColor="text1"/>
          <w:sz w:val="28"/>
          <w:szCs w:val="28"/>
          <w:highlight w:val="none"/>
          <w14:textFill>
            <w14:solidFill>
              <w14:schemeClr w14:val="tx1"/>
            </w14:solidFill>
          </w14:textFill>
        </w:rPr>
        <w:t>应基于</w:t>
      </w:r>
      <w:r>
        <w:rPr>
          <w:rFonts w:hint="eastAsia" w:ascii="Times New Roman" w:hAnsi="Times New Roman" w:eastAsia="宋体" w:cs="宋体"/>
          <w:color w:val="000000" w:themeColor="text1"/>
          <w:sz w:val="28"/>
          <w:szCs w:val="28"/>
          <w:highlight w:val="none"/>
          <w14:textFill>
            <w14:solidFill>
              <w14:schemeClr w14:val="tx1"/>
            </w14:solidFill>
          </w14:textFill>
        </w:rPr>
        <w:t>通道极限输电</w:t>
      </w:r>
      <w:r>
        <w:rPr>
          <w:rFonts w:ascii="Times New Roman" w:hAnsi="Times New Roman" w:eastAsia="宋体" w:cs="宋体"/>
          <w:color w:val="000000" w:themeColor="text1"/>
          <w:sz w:val="28"/>
          <w:szCs w:val="28"/>
          <w:highlight w:val="none"/>
          <w14:textFill>
            <w14:solidFill>
              <w14:schemeClr w14:val="tx1"/>
            </w14:solidFill>
          </w14:textFill>
        </w:rPr>
        <w:t>方式进行仿真</w:t>
      </w:r>
      <w:r>
        <w:rPr>
          <w:rFonts w:hint="eastAsia" w:ascii="Times New Roman" w:hAnsi="Times New Roman" w:eastAsia="宋体" w:cs="宋体"/>
          <w:color w:val="000000" w:themeColor="text1"/>
          <w:sz w:val="28"/>
          <w:szCs w:val="28"/>
          <w:highlight w:val="none"/>
          <w14:textFill>
            <w14:solidFill>
              <w14:schemeClr w14:val="tx1"/>
            </w14:solidFill>
          </w14:textFill>
        </w:rPr>
        <w:t>。</w:t>
      </w:r>
    </w:p>
    <w:p w14:paraId="7DD31B0F">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电压稳定校核应考虑新能源出力水平、直流输电功率、动态无功配置、</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电压</w:t>
      </w:r>
      <w:r>
        <w:rPr>
          <w:rFonts w:hint="eastAsia" w:ascii="Times New Roman" w:hAnsi="Times New Roman" w:eastAsia="宋体" w:cs="宋体"/>
          <w:color w:val="000000" w:themeColor="text1"/>
          <w:sz w:val="28"/>
          <w:szCs w:val="28"/>
          <w:highlight w:val="none"/>
          <w14:textFill>
            <w14:solidFill>
              <w14:schemeClr w14:val="tx1"/>
            </w14:solidFill>
          </w14:textFill>
        </w:rPr>
        <w:t>水平及负荷模型等影响因素。</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基础方式</w:t>
      </w:r>
      <w:r>
        <w:rPr>
          <w:rFonts w:hint="eastAsia" w:ascii="Times New Roman" w:hAnsi="Times New Roman" w:eastAsia="宋体" w:cs="宋体"/>
          <w:color w:val="000000" w:themeColor="text1"/>
          <w:sz w:val="28"/>
          <w:szCs w:val="28"/>
          <w:highlight w:val="none"/>
          <w14:textFill>
            <w14:solidFill>
              <w14:schemeClr w14:val="tx1"/>
            </w14:solidFill>
          </w14:textFill>
        </w:rPr>
        <w:t>在最小开机组合满足N-1热稳要求的基础上，机组</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应</w:t>
      </w:r>
      <w:r>
        <w:rPr>
          <w:rFonts w:hint="eastAsia" w:ascii="Times New Roman" w:hAnsi="Times New Roman" w:eastAsia="宋体" w:cs="宋体"/>
          <w:color w:val="000000" w:themeColor="text1"/>
          <w:sz w:val="28"/>
          <w:szCs w:val="28"/>
          <w:highlight w:val="none"/>
          <w14:textFill>
            <w14:solidFill>
              <w14:schemeClr w14:val="tx1"/>
            </w14:solidFill>
          </w14:textFill>
        </w:rPr>
        <w:t>尽量满发。必要时考虑深圳电网气源供应受限等场景，校核气电机组少开或全停方式下的电压稳定性。</w:t>
      </w:r>
    </w:p>
    <w:p w14:paraId="34F6AC99">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频率稳定校核应考虑扰动功率、直流FLC</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调节能力</w:t>
      </w:r>
      <w:r>
        <w:rPr>
          <w:rFonts w:hint="eastAsia" w:ascii="Times New Roman" w:hAnsi="Times New Roman" w:eastAsia="宋体" w:cs="宋体"/>
          <w:color w:val="000000" w:themeColor="text1"/>
          <w:sz w:val="28"/>
          <w:szCs w:val="28"/>
          <w:highlight w:val="none"/>
          <w14:textFill>
            <w14:solidFill>
              <w14:schemeClr w14:val="tx1"/>
            </w14:solidFill>
          </w14:textFill>
        </w:rPr>
        <w:t>、负荷</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频率特性</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电源一次调频备用、同步机总动能等影响因素。</w:t>
      </w:r>
    </w:p>
    <w:p w14:paraId="76483B1A">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故障类型</w:t>
      </w:r>
    </w:p>
    <w:p w14:paraId="4C104643">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开展稳定分析计算时，应根据深圳电网规划设计各阶段研究需要，选取故障类型。故障类型参照《电力系统安全稳定导则》GB 38755中“电力系统的安全稳定标准”相关规定。</w:t>
      </w:r>
    </w:p>
    <w:p w14:paraId="27644EE2">
      <w:pPr>
        <w:numPr>
          <w:ilvl w:val="2"/>
          <w:numId w:val="5"/>
        </w:numPr>
        <w:tabs>
          <w:tab w:val="left" w:pos="0"/>
        </w:tabs>
        <w:ind w:firstLine="0" w:firstLineChars="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系统设计、大型电源输电规划、500千伏电源接入系统及工程可行性研究、输变电工程可行性研究等阶段，应开展500千伏线路N-1、主变N-1、直流单极闭锁、单相短路单相中开关拒动、平行双回线路N-2（含同塔双回线路）、直流双极闭锁，以及特殊通道故障、交叉跨越线路故障等故障类型校核。</w:t>
      </w:r>
    </w:p>
    <w:p w14:paraId="4E330613">
      <w:pPr>
        <w:numPr>
          <w:ilvl w:val="2"/>
          <w:numId w:val="5"/>
        </w:numPr>
        <w:tabs>
          <w:tab w:val="left" w:pos="0"/>
        </w:tabs>
        <w:ind w:firstLine="0" w:firstLineChars="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五年期及中长期电网规划、工程（预）可行性研究应开展500千伏线路N-1、主变N-1、直流单极闭锁、单相短路单相中开关拒动、平行双回线路N-2（含同塔双回线路）、直流双极闭锁等故障类型校核，必要时，针对存量特殊通道、交叉跨越线路开展故障校核，避免新增特殊通道。</w:t>
      </w:r>
    </w:p>
    <w:p w14:paraId="167CD5CE">
      <w:pPr>
        <w:numPr>
          <w:ilvl w:val="2"/>
          <w:numId w:val="5"/>
        </w:numPr>
        <w:tabs>
          <w:tab w:val="left" w:pos="0"/>
        </w:tabs>
        <w:ind w:firstLine="0" w:firstLineChars="0"/>
        <w:jc w:val="left"/>
        <w:rPr>
          <w:rFonts w:hint="eastAsia"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规划设计各阶段220千伏电网应校核线路N-1、主变N-1、平行双回线路N-2（含同塔双回线路）故障。</w:t>
      </w:r>
    </w:p>
    <w:p w14:paraId="0FFCCB0C">
      <w:pPr>
        <w:numPr>
          <w:ilvl w:val="2"/>
          <w:numId w:val="5"/>
        </w:numPr>
        <w:tabs>
          <w:tab w:val="left" w:pos="0"/>
        </w:tabs>
        <w:ind w:firstLine="0" w:firstLineChars="0"/>
        <w:jc w:val="left"/>
        <w:rPr>
          <w:rFonts w:hint="default" w:ascii="Times New Roman" w:hAnsi="Times New Roman" w:eastAsia="宋体" w:cs="宋体"/>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稳定计算故障模拟</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的</w:t>
      </w:r>
      <w:r>
        <w:rPr>
          <w:rFonts w:hint="eastAsia" w:ascii="Times New Roman" w:hAnsi="Times New Roman" w:eastAsia="宋体" w:cs="宋体"/>
          <w:color w:val="000000" w:themeColor="text1"/>
          <w:sz w:val="28"/>
          <w:szCs w:val="28"/>
          <w:highlight w:val="none"/>
          <w14:textFill>
            <w14:solidFill>
              <w14:schemeClr w14:val="tx1"/>
            </w14:solidFill>
          </w14:textFill>
        </w:rPr>
        <w:t>参考设置</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详见附件C。</w:t>
      </w:r>
    </w:p>
    <w:p w14:paraId="59ECE94A">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计算结果要求</w:t>
      </w:r>
    </w:p>
    <w:p w14:paraId="70BEA707">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深圳电网系统稳定结果应满足现行行业标准《电力系统安全稳定导则》</w:t>
      </w:r>
      <w:r>
        <w:rPr>
          <w:rFonts w:ascii="Times New Roman" w:hAnsi="Times New Roman" w:eastAsia="宋体" w:cs="宋体"/>
          <w:color w:val="000000" w:themeColor="text1"/>
          <w:sz w:val="28"/>
          <w:szCs w:val="28"/>
          <w:highlight w:val="none"/>
          <w14:textFill>
            <w14:solidFill>
              <w14:schemeClr w14:val="tx1"/>
            </w14:solidFill>
          </w14:textFill>
        </w:rPr>
        <w:t>GB 38755和《电力系统安全稳定计算技术规范》GB/T 40581</w:t>
      </w:r>
      <w:r>
        <w:rPr>
          <w:rFonts w:hint="eastAsia" w:ascii="Times New Roman" w:hAnsi="Times New Roman" w:eastAsia="宋体" w:cs="宋体"/>
          <w:color w:val="000000" w:themeColor="text1"/>
          <w:sz w:val="28"/>
          <w:szCs w:val="28"/>
          <w:highlight w:val="none"/>
          <w14:textFill>
            <w14:solidFill>
              <w14:schemeClr w14:val="tx1"/>
            </w14:solidFill>
          </w14:textFill>
        </w:rPr>
        <w:t>中</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的相关</w:t>
      </w:r>
      <w:r>
        <w:rPr>
          <w:rFonts w:hint="eastAsia" w:ascii="Times New Roman" w:hAnsi="Times New Roman" w:eastAsia="宋体" w:cs="宋体"/>
          <w:color w:val="000000" w:themeColor="text1"/>
          <w:sz w:val="28"/>
          <w:szCs w:val="28"/>
          <w:highlight w:val="none"/>
          <w14:textFill>
            <w14:solidFill>
              <w14:schemeClr w14:val="tx1"/>
            </w14:solidFill>
          </w14:textFill>
        </w:rPr>
        <w:t>规定，应满足下列要求：</w:t>
      </w:r>
    </w:p>
    <w:p w14:paraId="5D1AAE01">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1 暂态功角稳定：电力系统受到小扰动或发生故障后，不发生非周期性失步</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各机组之间功角相对增大后可保持第一、第二摇摆不失步，并呈衰减振荡趋势。</w:t>
      </w:r>
    </w:p>
    <w:p w14:paraId="63923CF2">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 电压稳定：在电力系统受到大扰动后的暂态过程中，负荷母线电压应在10s以内恢复到0.8p.u.以上(取平均额定电压为电压基准值)，在暂态过程结束后</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负荷母线电压应恢复到0.9p.u.以上。</w:t>
      </w:r>
    </w:p>
    <w:p w14:paraId="7C38EEEB">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3 频率稳定：电力系统受到故障扰动后,系统频率能够快速恢复到额定频率附近</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并趋于稳定</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不应长期悬浮在51Hz以上或49Hz以下，安全自动装置动作后的系统稳态频率应恢复到不低于49.5Hz。</w:t>
      </w:r>
    </w:p>
    <w:p w14:paraId="48111CF1">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稳定计算结果分析应紧密联系深圳电网的实际运行情况</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分析影响稳定水平的主要因素</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提出推荐的对策和措施，以及不同措施的</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适用性</w:t>
      </w:r>
      <w:r>
        <w:rPr>
          <w:rFonts w:hint="eastAsia" w:ascii="Times New Roman" w:hAnsi="Times New Roman" w:eastAsia="宋体" w:cs="宋体"/>
          <w:color w:val="000000" w:themeColor="text1"/>
          <w:sz w:val="28"/>
          <w:szCs w:val="28"/>
          <w:highlight w:val="none"/>
          <w14:textFill>
            <w14:solidFill>
              <w14:schemeClr w14:val="tx1"/>
            </w14:solidFill>
          </w14:textFill>
        </w:rPr>
        <w:t>。</w:t>
      </w:r>
    </w:p>
    <w:p w14:paraId="5390123B">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1 切机、切负荷、直流紧急功率控制、抽水蓄能电站切泵、闭锁直流措施一般适用于GB 38755规定的第二级安全稳定标准。</w:t>
      </w:r>
    </w:p>
    <w:p w14:paraId="5918429D">
      <w:pPr>
        <w:numPr>
          <w:ilvl w:val="255"/>
          <w:numId w:val="0"/>
        </w:numPr>
        <w:tabs>
          <w:tab w:val="left" w:pos="0"/>
        </w:tabs>
        <w:ind w:firstLine="560" w:firstLineChars="200"/>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 失步解列、低频</w:t>
      </w:r>
      <w:r>
        <w:rPr>
          <w:rFonts w:hint="eastAsia" w:ascii="Times New Roman" w:hAnsi="Times New Roman" w:eastAsia="宋体" w:cs="宋体"/>
          <w:color w:val="000000" w:themeColor="text1"/>
          <w:sz w:val="28"/>
          <w:szCs w:val="28"/>
          <w:highlight w:val="none"/>
          <w:lang w:val="en-US" w:eastAsia="zh-CN"/>
          <w14:textFill>
            <w14:solidFill>
              <w14:schemeClr w14:val="tx1"/>
            </w14:solidFill>
          </w14:textFill>
        </w:rPr>
        <w:t>低压</w:t>
      </w:r>
      <w:r>
        <w:rPr>
          <w:rFonts w:hint="eastAsia" w:ascii="Times New Roman" w:hAnsi="Times New Roman" w:eastAsia="宋体" w:cs="宋体"/>
          <w:color w:val="000000" w:themeColor="text1"/>
          <w:sz w:val="28"/>
          <w:szCs w:val="28"/>
          <w:highlight w:val="none"/>
          <w14:textFill>
            <w14:solidFill>
              <w14:schemeClr w14:val="tx1"/>
            </w14:solidFill>
          </w14:textFill>
        </w:rPr>
        <w:t>减负荷、低频解列、低压解列、高频切机措施一般适用于GB 38755规定的第三级安全稳定标准。</w:t>
      </w:r>
    </w:p>
    <w:p w14:paraId="12C0716E">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对于新能源与常规电源打捆送出通道及局部区域断面，应满足在用电高峰时段下常规电源顶峰出力、新能源按有效容量出力方式的安全稳定校核要求。在此基础上，进一步考虑常规电源顶峰出力、新能源满发方式，对于N-1故障可采取新能源出力预控或切机措施</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对于同塔双回线路N-2故障可采取新能源功率快速调节或切机措施。上述故障下，切机量应满足南方电网频率控制要求。</w:t>
      </w:r>
    </w:p>
    <w:p w14:paraId="7BCC4E1E">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密集通道、交叉跨越故障仿真结束后应对负荷损失情况进行统计，分为二、三道防线动作导致的负荷损失，以及区域电网解列导致的负荷损失两个类别。需针对上述两个类别分别进行统计，并依据负荷损失结果统计该故障造成的事故等级。</w:t>
      </w:r>
    </w:p>
    <w:p w14:paraId="36ACED9E">
      <w:pPr>
        <w:numPr>
          <w:ilvl w:val="0"/>
          <w:numId w:val="0"/>
        </w:numPr>
        <w:tabs>
          <w:tab w:val="left" w:pos="0"/>
        </w:tabs>
        <w:ind w:leftChars="0"/>
        <w:jc w:val="left"/>
        <w:rPr>
          <w:rFonts w:ascii="Times New Roman" w:hAnsi="Times New Roman" w:eastAsia="宋体" w:cs="宋体"/>
          <w:color w:val="000000" w:themeColor="text1"/>
          <w:sz w:val="28"/>
          <w:szCs w:val="28"/>
          <w:highlight w:val="none"/>
          <w14:textFill>
            <w14:solidFill>
              <w14:schemeClr w14:val="tx1"/>
            </w14:solidFill>
          </w14:textFill>
        </w:rPr>
      </w:pPr>
    </w:p>
    <w:p w14:paraId="67CB59D9">
      <w:pPr>
        <w:numPr>
          <w:ilvl w:val="0"/>
          <w:numId w:val="5"/>
        </w:numPr>
        <w:jc w:val="center"/>
        <w:outlineLvl w:val="0"/>
        <w:rPr>
          <w:rFonts w:ascii="Times New Roman" w:hAnsi="Times New Roman" w:cs="Times New Roman"/>
          <w:color w:val="000000" w:themeColor="text1"/>
          <w:sz w:val="28"/>
          <w:szCs w:val="28"/>
          <w:highlight w:val="none"/>
          <w14:textFill>
            <w14:solidFill>
              <w14:schemeClr w14:val="tx1"/>
            </w14:solidFill>
          </w14:textFill>
        </w:rPr>
      </w:pPr>
      <w:bookmarkStart w:id="22" w:name="_Toc27686"/>
      <w:r>
        <w:rPr>
          <w:rFonts w:hint="eastAsia" w:ascii="Times New Roman" w:hAnsi="Times New Roman" w:eastAsia="黑体" w:cs="黑体"/>
          <w:color w:val="000000" w:themeColor="text1"/>
          <w:sz w:val="28"/>
          <w:szCs w:val="28"/>
          <w:highlight w:val="none"/>
          <w14:textFill>
            <w14:solidFill>
              <w14:schemeClr w14:val="tx1"/>
            </w14:solidFill>
          </w14:textFill>
        </w:rPr>
        <w:t>无功补偿计算</w:t>
      </w:r>
      <w:bookmarkEnd w:id="22"/>
    </w:p>
    <w:p w14:paraId="4639C4BF">
      <w:pPr>
        <w:pStyle w:val="6"/>
        <w:numPr>
          <w:ilvl w:val="1"/>
          <w:numId w:val="5"/>
        </w:numPr>
        <w:tabs>
          <w:tab w:val="left" w:pos="0"/>
        </w:tabs>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计算目的</w:t>
      </w:r>
    </w:p>
    <w:p w14:paraId="481A0CB2">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电网应配备充足的无功电源，无功电源规模应能适应不同运行方式的要求，并留有适当裕度，以维持系统始终处于合理的电压运行水平，保证系统运行的安全可靠性。为此，在电力系统规划设计阶段必须进行无功补偿计算，以确定所设计系统的无功电源需求量，为安排无功电源建设提供依据。</w:t>
      </w:r>
    </w:p>
    <w:p w14:paraId="7E7CFC6A">
      <w:pPr>
        <w:pStyle w:val="6"/>
        <w:numPr>
          <w:ilvl w:val="1"/>
          <w:numId w:val="5"/>
        </w:numPr>
        <w:tabs>
          <w:tab w:val="left" w:pos="0"/>
        </w:tabs>
        <w:jc w:val="left"/>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计算方式</w:t>
      </w:r>
    </w:p>
    <w:p w14:paraId="55BB901B">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电网的无功补偿应以分层分区和就地平衡为原则。</w:t>
      </w:r>
    </w:p>
    <w:p w14:paraId="3462DDB3">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无功补偿需在高峰(或重载)负荷（大方式）和低谷(或轻载)负荷（小方式）两种典型运行方式下分别进行容性和感性无功功率平衡计算，以满足系统调压的要求。</w:t>
      </w:r>
    </w:p>
    <w:p w14:paraId="60EF9210">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高峰负荷（大方式）时系统电压按1倍额定电压考虑，低谷负荷（小方式）时系统电压按1.</w:t>
      </w:r>
      <w:r>
        <w:rPr>
          <w:rFonts w:ascii="Times New Roman" w:hAnsi="Times New Roman" w:eastAsia="宋体" w:cs="宋体"/>
          <w:color w:val="000000" w:themeColor="text1"/>
          <w:sz w:val="28"/>
          <w:szCs w:val="28"/>
          <w:highlight w:val="none"/>
          <w14:textFill>
            <w14:solidFill>
              <w14:schemeClr w14:val="tx1"/>
            </w14:solidFill>
          </w14:textFill>
        </w:rPr>
        <w:t>0</w:t>
      </w:r>
      <w:r>
        <w:rPr>
          <w:rFonts w:hint="eastAsia" w:ascii="Times New Roman" w:hAnsi="Times New Roman" w:eastAsia="宋体" w:cs="宋体"/>
          <w:color w:val="000000" w:themeColor="text1"/>
          <w:sz w:val="28"/>
          <w:szCs w:val="28"/>
          <w:highlight w:val="none"/>
          <w14:textFill>
            <w14:solidFill>
              <w14:schemeClr w14:val="tx1"/>
            </w14:solidFill>
          </w14:textFill>
        </w:rPr>
        <w:t>1倍额定电压考虑。</w:t>
      </w:r>
    </w:p>
    <w:p w14:paraId="542E211C">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通常情况下，高峰负荷（大方式）时主变负载率按70%</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90%考虑，低谷负荷（小方式）时主变负载率按20%</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30%考虑。</w:t>
      </w:r>
    </w:p>
    <w:p w14:paraId="41B3E4E4">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划定无功补偿范围时，补偿范围内的线路全部计入无功平衡，连接区域内外的线路一般按线路长度的一半考虑。</w:t>
      </w:r>
    </w:p>
    <w:p w14:paraId="5E6F1D4F">
      <w:pPr>
        <w:pStyle w:val="28"/>
        <w:numPr>
          <w:ilvl w:val="0"/>
          <w:numId w:val="7"/>
        </w:numPr>
        <w:tabs>
          <w:tab w:val="left" w:pos="0"/>
        </w:tabs>
        <w:ind w:firstLineChars="0"/>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对于电缆出线较多的区域，若5</w:t>
      </w:r>
      <w:r>
        <w:rPr>
          <w:rFonts w:ascii="Times New Roman" w:hAnsi="Times New Roman" w:eastAsia="宋体" w:cs="宋体"/>
          <w:color w:val="000000" w:themeColor="text1"/>
          <w:sz w:val="28"/>
          <w:szCs w:val="28"/>
          <w:highlight w:val="none"/>
          <w14:textFill>
            <w14:solidFill>
              <w14:schemeClr w14:val="tx1"/>
            </w14:solidFill>
          </w14:textFill>
        </w:rPr>
        <w:t>00kV</w:t>
      </w:r>
      <w:r>
        <w:rPr>
          <w:rFonts w:hint="eastAsia" w:ascii="Times New Roman" w:hAnsi="Times New Roman" w:eastAsia="宋体" w:cs="宋体"/>
          <w:color w:val="000000" w:themeColor="text1"/>
          <w:sz w:val="28"/>
          <w:szCs w:val="28"/>
          <w:highlight w:val="none"/>
          <w14:textFill>
            <w14:solidFill>
              <w14:schemeClr w14:val="tx1"/>
            </w14:solidFill>
          </w14:textFill>
        </w:rPr>
        <w:t>变电站2</w:t>
      </w:r>
      <w:r>
        <w:rPr>
          <w:rFonts w:ascii="Times New Roman" w:hAnsi="Times New Roman" w:eastAsia="宋体" w:cs="宋体"/>
          <w:color w:val="000000" w:themeColor="text1"/>
          <w:sz w:val="28"/>
          <w:szCs w:val="28"/>
          <w:highlight w:val="none"/>
          <w14:textFill>
            <w14:solidFill>
              <w14:schemeClr w14:val="tx1"/>
            </w14:solidFill>
          </w14:textFill>
        </w:rPr>
        <w:t>20</w:t>
      </w:r>
      <w:r>
        <w:rPr>
          <w:rFonts w:hint="eastAsia" w:ascii="Times New Roman" w:hAnsi="Times New Roman" w:eastAsia="宋体" w:cs="宋体"/>
          <w:color w:val="000000" w:themeColor="text1"/>
          <w:sz w:val="28"/>
          <w:szCs w:val="28"/>
          <w:highlight w:val="none"/>
          <w14:textFill>
            <w14:solidFill>
              <w14:schemeClr w14:val="tx1"/>
            </w14:solidFill>
          </w14:textFill>
        </w:rPr>
        <w:t>k</w:t>
      </w:r>
      <w:r>
        <w:rPr>
          <w:rFonts w:ascii="Times New Roman" w:hAnsi="Times New Roman" w:eastAsia="宋体" w:cs="宋体"/>
          <w:color w:val="000000" w:themeColor="text1"/>
          <w:sz w:val="28"/>
          <w:szCs w:val="28"/>
          <w:highlight w:val="none"/>
          <w14:textFill>
            <w14:solidFill>
              <w14:schemeClr w14:val="tx1"/>
            </w14:solidFill>
          </w14:textFill>
        </w:rPr>
        <w:t>V</w:t>
      </w:r>
      <w:r>
        <w:rPr>
          <w:rFonts w:hint="eastAsia" w:ascii="Times New Roman" w:hAnsi="Times New Roman" w:eastAsia="宋体" w:cs="宋体"/>
          <w:color w:val="000000" w:themeColor="text1"/>
          <w:sz w:val="28"/>
          <w:szCs w:val="28"/>
          <w:highlight w:val="none"/>
          <w14:textFill>
            <w14:solidFill>
              <w14:schemeClr w14:val="tx1"/>
            </w14:solidFill>
          </w14:textFill>
        </w:rPr>
        <w:t>出线对侧的2</w:t>
      </w:r>
      <w:r>
        <w:rPr>
          <w:rFonts w:ascii="Times New Roman" w:hAnsi="Times New Roman" w:eastAsia="宋体" w:cs="宋体"/>
          <w:color w:val="000000" w:themeColor="text1"/>
          <w:sz w:val="28"/>
          <w:szCs w:val="28"/>
          <w:highlight w:val="none"/>
          <w14:textFill>
            <w14:solidFill>
              <w14:schemeClr w14:val="tx1"/>
            </w14:solidFill>
          </w14:textFill>
        </w:rPr>
        <w:t>20kV</w:t>
      </w:r>
      <w:r>
        <w:rPr>
          <w:rFonts w:hint="eastAsia" w:ascii="Times New Roman" w:hAnsi="Times New Roman" w:eastAsia="宋体" w:cs="宋体"/>
          <w:color w:val="000000" w:themeColor="text1"/>
          <w:sz w:val="28"/>
          <w:szCs w:val="28"/>
          <w:highlight w:val="none"/>
          <w14:textFill>
            <w14:solidFill>
              <w14:schemeClr w14:val="tx1"/>
            </w14:solidFill>
          </w14:textFill>
        </w:rPr>
        <w:t>变电站无功补偿设备配置条件有限，则考虑由5</w:t>
      </w:r>
      <w:r>
        <w:rPr>
          <w:rFonts w:ascii="Times New Roman" w:hAnsi="Times New Roman" w:eastAsia="宋体" w:cs="宋体"/>
          <w:color w:val="000000" w:themeColor="text1"/>
          <w:sz w:val="28"/>
          <w:szCs w:val="28"/>
          <w:highlight w:val="none"/>
          <w14:textFill>
            <w14:solidFill>
              <w14:schemeClr w14:val="tx1"/>
            </w14:solidFill>
          </w14:textFill>
        </w:rPr>
        <w:t>00</w:t>
      </w:r>
      <w:r>
        <w:rPr>
          <w:rFonts w:hint="eastAsia" w:ascii="Times New Roman" w:hAnsi="Times New Roman" w:eastAsia="宋体" w:cs="宋体"/>
          <w:color w:val="000000" w:themeColor="text1"/>
          <w:sz w:val="28"/>
          <w:szCs w:val="28"/>
          <w:highlight w:val="none"/>
          <w14:textFill>
            <w14:solidFill>
              <w14:schemeClr w14:val="tx1"/>
            </w14:solidFill>
          </w14:textFill>
        </w:rPr>
        <w:t>k</w:t>
      </w:r>
      <w:r>
        <w:rPr>
          <w:rFonts w:ascii="Times New Roman" w:hAnsi="Times New Roman" w:eastAsia="宋体" w:cs="宋体"/>
          <w:color w:val="000000" w:themeColor="text1"/>
          <w:sz w:val="28"/>
          <w:szCs w:val="28"/>
          <w:highlight w:val="none"/>
          <w14:textFill>
            <w14:solidFill>
              <w14:schemeClr w14:val="tx1"/>
            </w14:solidFill>
          </w14:textFill>
        </w:rPr>
        <w:t>V</w:t>
      </w:r>
      <w:r>
        <w:rPr>
          <w:rFonts w:hint="eastAsia" w:ascii="Times New Roman" w:hAnsi="Times New Roman" w:eastAsia="宋体" w:cs="宋体"/>
          <w:color w:val="000000" w:themeColor="text1"/>
          <w:sz w:val="28"/>
          <w:szCs w:val="28"/>
          <w:highlight w:val="none"/>
          <w14:textFill>
            <w14:solidFill>
              <w14:schemeClr w14:val="tx1"/>
            </w14:solidFill>
          </w14:textFill>
        </w:rPr>
        <w:t>变电站对2</w:t>
      </w:r>
      <w:r>
        <w:rPr>
          <w:rFonts w:ascii="Times New Roman" w:hAnsi="Times New Roman" w:eastAsia="宋体" w:cs="宋体"/>
          <w:color w:val="000000" w:themeColor="text1"/>
          <w:sz w:val="28"/>
          <w:szCs w:val="28"/>
          <w:highlight w:val="none"/>
          <w14:textFill>
            <w14:solidFill>
              <w14:schemeClr w14:val="tx1"/>
            </w14:solidFill>
          </w14:textFill>
        </w:rPr>
        <w:t>20</w:t>
      </w:r>
      <w:r>
        <w:rPr>
          <w:rFonts w:hint="eastAsia" w:ascii="Times New Roman" w:hAnsi="Times New Roman" w:eastAsia="宋体" w:cs="宋体"/>
          <w:color w:val="000000" w:themeColor="text1"/>
          <w:sz w:val="28"/>
          <w:szCs w:val="28"/>
          <w:highlight w:val="none"/>
          <w14:textFill>
            <w14:solidFill>
              <w14:schemeClr w14:val="tx1"/>
            </w14:solidFill>
          </w14:textFill>
        </w:rPr>
        <w:t>k</w:t>
      </w:r>
      <w:r>
        <w:rPr>
          <w:rFonts w:ascii="Times New Roman" w:hAnsi="Times New Roman" w:eastAsia="宋体" w:cs="宋体"/>
          <w:color w:val="000000" w:themeColor="text1"/>
          <w:sz w:val="28"/>
          <w:szCs w:val="28"/>
          <w:highlight w:val="none"/>
          <w14:textFill>
            <w14:solidFill>
              <w14:schemeClr w14:val="tx1"/>
            </w14:solidFill>
          </w14:textFill>
        </w:rPr>
        <w:t>V</w:t>
      </w:r>
      <w:r>
        <w:rPr>
          <w:rFonts w:hint="eastAsia" w:ascii="Times New Roman" w:hAnsi="Times New Roman" w:eastAsia="宋体" w:cs="宋体"/>
          <w:color w:val="000000" w:themeColor="text1"/>
          <w:sz w:val="28"/>
          <w:szCs w:val="28"/>
          <w:highlight w:val="none"/>
          <w14:textFill>
            <w14:solidFill>
              <w14:schemeClr w14:val="tx1"/>
            </w14:solidFill>
          </w14:textFill>
        </w:rPr>
        <w:t>电缆线路的充电功率基本予以补偿。</w:t>
      </w:r>
    </w:p>
    <w:p w14:paraId="0CBA4556">
      <w:pPr>
        <w:pStyle w:val="28"/>
        <w:numPr>
          <w:ilvl w:val="0"/>
          <w:numId w:val="7"/>
        </w:numPr>
        <w:tabs>
          <w:tab w:val="left" w:pos="0"/>
        </w:tabs>
        <w:ind w:firstLineChars="0"/>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若变电站的对侧为用户站或电厂，则需要扩大补偿范围，将用户或电厂包括在无功平衡范围。</w:t>
      </w:r>
    </w:p>
    <w:p w14:paraId="5FB2893E">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本变电站侧的线路高压电抗器应计入无功补偿范围，母线高压电抗器是否计入无功补偿范围，可根据实际运行方式确定。</w:t>
      </w:r>
    </w:p>
    <w:p w14:paraId="20B80032">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进行无功平衡计算时，以区域内无功电源总容量扣除无功总负荷，计算得出该区域无功平衡结果。</w:t>
      </w:r>
    </w:p>
    <w:p w14:paraId="51311E33">
      <w:pPr>
        <w:pStyle w:val="28"/>
        <w:numPr>
          <w:ilvl w:val="0"/>
          <w:numId w:val="8"/>
        </w:numPr>
        <w:tabs>
          <w:tab w:val="left" w:pos="0"/>
        </w:tabs>
        <w:ind w:firstLineChars="0"/>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无功电源包括：同步发电机、调相机、输电线路充电功率、无功补偿装置（并联电容器、STATCOM、串联电容器等）；</w:t>
      </w:r>
    </w:p>
    <w:p w14:paraId="66B864D6">
      <w:pPr>
        <w:pStyle w:val="28"/>
        <w:numPr>
          <w:ilvl w:val="0"/>
          <w:numId w:val="8"/>
        </w:numPr>
        <w:tabs>
          <w:tab w:val="left" w:pos="0"/>
        </w:tabs>
        <w:ind w:firstLineChars="0"/>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无功负荷包括：输电线路无功损耗、变压器无功损耗、串联电抗器、并联电抗器及用电负荷消耗的无功功率等。</w:t>
      </w:r>
    </w:p>
    <w:p w14:paraId="676A9CB6">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ascii="Times New Roman" w:hAnsi="Times New Roman" w:eastAsia="宋体" w:cs="宋体"/>
          <w:color w:val="000000" w:themeColor="text1"/>
          <w:sz w:val="28"/>
          <w:szCs w:val="28"/>
          <w:highlight w:val="none"/>
          <w14:textFill>
            <w14:solidFill>
              <w14:schemeClr w14:val="tx1"/>
            </w14:solidFill>
          </w14:textFill>
        </w:rPr>
        <w:t>STATCOM</w:t>
      </w:r>
      <w:r>
        <w:rPr>
          <w:rFonts w:hint="eastAsia" w:ascii="Times New Roman" w:hAnsi="Times New Roman" w:eastAsia="宋体" w:cs="宋体"/>
          <w:color w:val="000000" w:themeColor="text1"/>
          <w:sz w:val="28"/>
          <w:szCs w:val="28"/>
          <w:highlight w:val="none"/>
          <w14:textFill>
            <w14:solidFill>
              <w14:schemeClr w14:val="tx1"/>
            </w14:solidFill>
          </w14:textFill>
        </w:rPr>
        <w:t>计入无功补偿的具体容量需结合运行情况明确</w:t>
      </w:r>
      <w:r>
        <w:rPr>
          <w:rFonts w:ascii="Times New Roman" w:hAnsi="Times New Roman" w:eastAsia="宋体" w:cs="宋体"/>
          <w:color w:val="000000" w:themeColor="text1"/>
          <w:sz w:val="28"/>
          <w:szCs w:val="28"/>
          <w:highlight w:val="none"/>
          <w14:textFill>
            <w14:solidFill>
              <w14:schemeClr w14:val="tx1"/>
            </w14:solidFill>
          </w14:textFill>
        </w:rPr>
        <w:t>。</w:t>
      </w:r>
    </w:p>
    <w:p w14:paraId="1F9D2B6E">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无功补偿计算时需考虑本期和远期无功平衡，通常先计算远期，再计算本期。</w:t>
      </w:r>
    </w:p>
    <w:p w14:paraId="0328973C">
      <w:pPr>
        <w:pStyle w:val="6"/>
        <w:numPr>
          <w:ilvl w:val="1"/>
          <w:numId w:val="5"/>
        </w:numPr>
        <w:tabs>
          <w:tab w:val="left" w:pos="0"/>
        </w:tabs>
        <w:outlineLvl w:val="1"/>
        <w:rPr>
          <w:rFonts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计算结果要求</w:t>
      </w:r>
    </w:p>
    <w:p w14:paraId="4501DCFE">
      <w:pPr>
        <w:numPr>
          <w:ilvl w:val="2"/>
          <w:numId w:val="5"/>
        </w:numPr>
        <w:tabs>
          <w:tab w:val="left" w:pos="0"/>
        </w:tabs>
        <w:rPr>
          <w:rFonts w:hint="eastAsia"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500千伏电网的无功补偿容量应结合分区无功平衡和调相调压计算确定，容性无功补偿宜按照主变压器容量的10%～20%配置；感性无功补偿宜通过配置高、低压并联电抗器对高压输电线路的充电功率基本上予以补偿，长度100km以下线路，一般考虑在两端变电站装设低压电抗器补偿充电功率；长度100km以上的线路，通过计算论证，从过电压控制、系统稳定、减少潜供电流等多方面考虑是否需要加装高压并联电抗器及小电抗。</w:t>
      </w:r>
    </w:p>
    <w:p w14:paraId="65F0258B">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220千伏主变压器高峰负荷（大方式）时，其高压侧功率因数不低于0.98</w:t>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220千伏变电站的容性无功补偿容量按照主变压器容量的10%～30%配置。220千伏主变压器低谷负荷（小方式）时，其高压侧功率因数不高于0.95，220千伏电缆线路充电功率宜通过配置低压并联电抗器基本上予以补偿，配置高压并联电抗器的需经专题论证。</w:t>
      </w:r>
    </w:p>
    <w:p w14:paraId="04C3EBAA">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变电站最大单组无功补偿装置投切引起所在母线电压变化不宜超过电压额定值的2.5%。</w:t>
      </w:r>
    </w:p>
    <w:p w14:paraId="6F249540">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局部地区500千伏电压等级短线路较多时，应根据无功就地平衡原则和电网结构特点，经计算分析，在适当地点装设母线高压并联电抗器进行无功补偿，母线高压并联电抗器应装设断路器。</w:t>
      </w:r>
    </w:p>
    <w:p w14:paraId="06789578">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无功补偿宜优先考虑可投切的静态无功补偿方式。对有大容量直流馈入、新能源大规模集中接入的地区以及动态无功不足的受端电网，应结合电网规划进行论证，是否在相关500千伏、220千伏变电站或新能源集控站内配置动态无功补偿装置。</w:t>
      </w:r>
    </w:p>
    <w:p w14:paraId="1EAF49DE">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直流落点区域应具备较强的动态无功支撑能力，换流站的无功补偿通常按照直流长期允许过负荷条件下无需交流系统提供无功的要求进行配置，并考虑交流电压变化对无功设备出力的影响，</w:t>
      </w:r>
      <w:r>
        <w:rPr>
          <w:rFonts w:ascii="Times New Roman" w:hAnsi="Times New Roman" w:cs="Times New Roman"/>
          <w:color w:val="000000" w:themeColor="text1"/>
          <w:sz w:val="28"/>
          <w:szCs w:val="28"/>
          <w:highlight w:val="none"/>
          <w14:textFill>
            <w14:solidFill>
              <w14:schemeClr w14:val="tx1"/>
            </w14:solidFill>
          </w14:textFill>
        </w:rPr>
        <w:t>近区电源可适当考虑为直流系统提供容性无功补偿容量。</w:t>
      </w:r>
    </w:p>
    <w:p w14:paraId="6EBED5A9">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8"/>
          <w:szCs w:val="28"/>
          <w:highlight w:val="none"/>
          <w14:textFill>
            <w14:solidFill>
              <w14:schemeClr w14:val="tx1"/>
            </w14:solidFill>
          </w14:textFill>
        </w:rPr>
        <w:t>新能源富集区的动态无功配置需满足高比例新能源接入后系统电压稳定、快速响应以及无功支撑的要求。宜在新能源并网点配备SVG等动态无功补偿设备，提升短路比和电压控制能力。</w:t>
      </w:r>
    </w:p>
    <w:p w14:paraId="21B1F899">
      <w:pPr>
        <w:numPr>
          <w:ilvl w:val="2"/>
          <w:numId w:val="5"/>
        </w:numPr>
        <w:tabs>
          <w:tab w:val="left" w:pos="0"/>
        </w:tabs>
        <w:rPr>
          <w:rFonts w:ascii="Times New Roman" w:hAnsi="Times New Roman" w:eastAsia="宋体" w:cs="宋体"/>
          <w:color w:val="000000" w:themeColor="text1"/>
          <w:sz w:val="28"/>
          <w:szCs w:val="28"/>
          <w:highlight w:val="none"/>
          <w14:textFill>
            <w14:solidFill>
              <w14:schemeClr w14:val="tx1"/>
            </w14:solidFill>
          </w14:textFill>
        </w:rPr>
      </w:pPr>
      <w:r>
        <w:rPr>
          <w:rFonts w:ascii="Times New Roman" w:hAnsi="Times New Roman" w:eastAsia="宋体" w:cs="宋体"/>
          <w:color w:val="000000" w:themeColor="text1"/>
          <w:sz w:val="28"/>
          <w:szCs w:val="28"/>
          <w:highlight w:val="none"/>
          <w14:textFill>
            <w14:solidFill>
              <w14:schemeClr w14:val="tx1"/>
            </w14:solidFill>
          </w14:textFill>
        </w:rPr>
        <w:t>发电机提供无功不超过其实际能力</w:t>
      </w:r>
      <w:r>
        <w:rPr>
          <w:rFonts w:hint="eastAsia" w:ascii="Times New Roman" w:hAnsi="Times New Roman" w:eastAsia="宋体" w:cs="宋体"/>
          <w:color w:val="000000" w:themeColor="text1"/>
          <w:sz w:val="28"/>
          <w:szCs w:val="28"/>
          <w:highlight w:val="none"/>
          <w14:textFill>
            <w14:solidFill>
              <w14:schemeClr w14:val="tx1"/>
            </w14:solidFill>
          </w14:textFill>
        </w:rPr>
        <w:t>（位于受端系统的发电机组应选取较低的额定功率因数（滞后），如0.85，确保电厂能提供较大无功出力）</w:t>
      </w:r>
      <w:r>
        <w:rPr>
          <w:rFonts w:ascii="Times New Roman" w:hAnsi="Times New Roman" w:eastAsia="宋体" w:cs="宋体"/>
          <w:color w:val="000000" w:themeColor="text1"/>
          <w:sz w:val="28"/>
          <w:szCs w:val="28"/>
          <w:highlight w:val="none"/>
          <w14:textFill>
            <w14:solidFill>
              <w14:schemeClr w14:val="tx1"/>
            </w14:solidFill>
          </w14:textFill>
        </w:rPr>
        <w:t>,并在正常方式时，应留有适当动态无功备用。规划设计阶段可不考虑发电机进相运行。</w:t>
      </w:r>
    </w:p>
    <w:p w14:paraId="4402277E">
      <w:pPr>
        <w:pStyle w:val="6"/>
        <w:rPr>
          <w:rFonts w:ascii="Times New Roman" w:hAnsi="Times New Roman"/>
          <w:color w:val="000000" w:themeColor="text1"/>
          <w:highlight w:val="none"/>
          <w14:textFill>
            <w14:solidFill>
              <w14:schemeClr w14:val="tx1"/>
            </w14:solidFill>
          </w14:textFill>
        </w:rPr>
      </w:pPr>
    </w:p>
    <w:p w14:paraId="6842DF42">
      <w:pPr>
        <w:numPr>
          <w:ilvl w:val="0"/>
          <w:numId w:val="5"/>
        </w:numPr>
        <w:jc w:val="center"/>
        <w:outlineLvl w:val="0"/>
        <w:rPr>
          <w:rFonts w:ascii="Times New Roman" w:hAnsi="Times New Roman" w:cs="Times New Roman"/>
          <w:color w:val="000000" w:themeColor="text1"/>
          <w:sz w:val="28"/>
          <w:szCs w:val="28"/>
          <w:highlight w:val="none"/>
          <w14:textFill>
            <w14:solidFill>
              <w14:schemeClr w14:val="tx1"/>
            </w14:solidFill>
          </w14:textFill>
        </w:rPr>
      </w:pPr>
      <w:bookmarkStart w:id="23" w:name="_Toc21309"/>
      <w:r>
        <w:rPr>
          <w:rFonts w:hint="eastAsia" w:ascii="Times New Roman" w:hAnsi="Times New Roman" w:eastAsia="黑体" w:cs="黑体"/>
          <w:color w:val="000000" w:themeColor="text1"/>
          <w:sz w:val="28"/>
          <w:szCs w:val="28"/>
          <w:highlight w:val="none"/>
          <w14:textFill>
            <w14:solidFill>
              <w14:schemeClr w14:val="tx1"/>
            </w14:solidFill>
          </w14:textFill>
        </w:rPr>
        <w:t>调相调压计算</w:t>
      </w:r>
      <w:bookmarkEnd w:id="23"/>
    </w:p>
    <w:p w14:paraId="687BDFFC">
      <w:pPr>
        <w:pStyle w:val="6"/>
        <w:numPr>
          <w:ilvl w:val="1"/>
          <w:numId w:val="5"/>
        </w:numPr>
        <w:tabs>
          <w:tab w:val="left" w:pos="0"/>
        </w:tabs>
        <w:jc w:val="left"/>
        <w:outlineLvl w:val="1"/>
        <w:rPr>
          <w:rFonts w:hint="eastAsia"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计算目的</w:t>
      </w:r>
    </w:p>
    <w:p w14:paraId="532F60DA">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hint="eastAsia" w:ascii="Times New Roman" w:hAnsi="Times New Roman" w:cs="Times New Roman"/>
          <w:color w:val="000000" w:themeColor="text1"/>
          <w:sz w:val="28"/>
          <w:szCs w:val="28"/>
          <w:highlight w:val="none"/>
          <w14:textFill>
            <w14:solidFill>
              <w14:schemeClr w14:val="tx1"/>
            </w14:solidFill>
          </w14:textFill>
        </w:rPr>
        <w:t>调相调压计算的主要目的是结合无功平衡计算，确定新增无功补偿设备的型式、容量及安装地点，选择变压器的调压方式。</w:t>
      </w:r>
    </w:p>
    <w:p w14:paraId="5FB4507C">
      <w:pPr>
        <w:pStyle w:val="6"/>
        <w:numPr>
          <w:ilvl w:val="1"/>
          <w:numId w:val="5"/>
        </w:numPr>
        <w:tabs>
          <w:tab w:val="left" w:pos="0"/>
        </w:tabs>
        <w:jc w:val="left"/>
        <w:outlineLvl w:val="1"/>
        <w:rPr>
          <w:rFonts w:hint="eastAsia"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计算方式</w:t>
      </w:r>
    </w:p>
    <w:p w14:paraId="4D5C4BD4">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hint="eastAsia" w:ascii="Times New Roman" w:hAnsi="Times New Roman" w:cs="Times New Roman"/>
          <w:color w:val="000000" w:themeColor="text1"/>
          <w:sz w:val="28"/>
          <w:szCs w:val="28"/>
          <w:highlight w:val="none"/>
          <w14:textFill>
            <w14:solidFill>
              <w14:schemeClr w14:val="tx1"/>
            </w14:solidFill>
          </w14:textFill>
        </w:rPr>
        <w:t>应以潮流计算为基础，通过校核电压水平，对初步拟定的无功配置方案进行校验分析，通常情况下，应对方案在系统高峰负荷(大方式)、低谷负荷(小方式)，以及各类型电源不同出力情况下的典型运行方式开展调相调压计算。</w:t>
      </w:r>
    </w:p>
    <w:p w14:paraId="17F1A9B4">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对于长距离输电系统</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应对断面重载、轻载两种典型方式进行调相调压计算。</w:t>
      </w:r>
    </w:p>
    <w:p w14:paraId="2D081577">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为保证电力系统</w:t>
      </w:r>
      <w:r>
        <w:rPr>
          <w:rFonts w:hint="eastAsia" w:ascii="Times New Roman" w:hAnsi="Times New Roman" w:cs="Times New Roman"/>
          <w:color w:val="000000" w:themeColor="text1"/>
          <w:sz w:val="28"/>
          <w:szCs w:val="28"/>
          <w:highlight w:val="none"/>
          <w14:textFill>
            <w14:solidFill>
              <w14:schemeClr w14:val="tx1"/>
            </w14:solidFill>
          </w14:textFill>
        </w:rPr>
        <w:t>具备</w:t>
      </w:r>
      <w:r>
        <w:rPr>
          <w:rFonts w:ascii="Times New Roman" w:hAnsi="Times New Roman" w:cs="Times New Roman"/>
          <w:color w:val="000000" w:themeColor="text1"/>
          <w:sz w:val="28"/>
          <w:szCs w:val="28"/>
          <w:highlight w:val="none"/>
          <w14:textFill>
            <w14:solidFill>
              <w14:schemeClr w14:val="tx1"/>
            </w14:solidFill>
          </w14:textFill>
        </w:rPr>
        <w:t>足够的事故无功备用</w:t>
      </w:r>
      <w:r>
        <w:rPr>
          <w:rFonts w:hint="eastAsia" w:ascii="Times New Roman" w:hAnsi="Times New Roman" w:cs="Times New Roman"/>
          <w:color w:val="000000" w:themeColor="text1"/>
          <w:sz w:val="28"/>
          <w:szCs w:val="28"/>
          <w:highlight w:val="none"/>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应对正常运行方式下一回重载线路</w:t>
      </w:r>
      <w:r>
        <w:rPr>
          <w:rFonts w:hint="eastAsia" w:ascii="Times New Roman" w:hAnsi="Times New Roman" w:cs="Times New Roman"/>
          <w:color w:val="000000" w:themeColor="text1"/>
          <w:sz w:val="28"/>
          <w:szCs w:val="28"/>
          <w:highlight w:val="none"/>
          <w14:textFill>
            <w14:solidFill>
              <w14:schemeClr w14:val="tx1"/>
            </w14:solidFill>
          </w14:textFill>
        </w:rPr>
        <w:t>或</w:t>
      </w:r>
      <w:r>
        <w:rPr>
          <w:rFonts w:ascii="Times New Roman" w:hAnsi="Times New Roman" w:cs="Times New Roman"/>
          <w:color w:val="000000" w:themeColor="text1"/>
          <w:sz w:val="28"/>
          <w:szCs w:val="28"/>
          <w:highlight w:val="none"/>
          <w14:textFill>
            <w14:solidFill>
              <w14:schemeClr w14:val="tx1"/>
            </w14:solidFill>
          </w14:textFill>
        </w:rPr>
        <w:t>一台最大容量无功补偿设备或本地区一台最大容量发电机发生N-1故障的方式进行调相调压计算。</w:t>
      </w:r>
    </w:p>
    <w:p w14:paraId="760A06BB">
      <w:p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9.2.4 含有大容量直流的系统</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根据所研究的具体问题,可选取</w:t>
      </w:r>
      <w:r>
        <w:rPr>
          <w:rFonts w:hint="eastAsia" w:ascii="Times New Roman" w:hAnsi="Times New Roman" w:eastAsia="宋体" w:cs="宋体"/>
          <w:color w:val="000000" w:themeColor="text1"/>
          <w:sz w:val="28"/>
          <w:szCs w:val="28"/>
          <w:highlight w:val="none"/>
          <w14:textFill>
            <w14:solidFill>
              <w14:schemeClr w14:val="tx1"/>
            </w14:solidFill>
          </w14:textFill>
        </w:rPr>
        <w:t>高峰负荷（大方式）</w:t>
      </w:r>
      <w:r>
        <w:rPr>
          <w:rFonts w:ascii="Times New Roman" w:hAnsi="Times New Roman" w:cs="Times New Roman"/>
          <w:color w:val="000000" w:themeColor="text1"/>
          <w:sz w:val="28"/>
          <w:szCs w:val="28"/>
          <w:highlight w:val="none"/>
          <w14:textFill>
            <w14:solidFill>
              <w14:schemeClr w14:val="tx1"/>
            </w14:solidFill>
          </w14:textFill>
        </w:rPr>
        <w:t>、</w:t>
      </w:r>
      <w:r>
        <w:rPr>
          <w:rFonts w:hint="eastAsia" w:ascii="Times New Roman" w:hAnsi="Times New Roman" w:eastAsia="宋体" w:cs="宋体"/>
          <w:color w:val="000000" w:themeColor="text1"/>
          <w:sz w:val="28"/>
          <w:szCs w:val="28"/>
          <w:highlight w:val="none"/>
          <w14:textFill>
            <w14:solidFill>
              <w14:schemeClr w14:val="tx1"/>
            </w14:solidFill>
          </w14:textFill>
        </w:rPr>
        <w:t>低谷负荷（小方式）</w:t>
      </w:r>
      <w:r>
        <w:rPr>
          <w:rFonts w:ascii="Times New Roman" w:hAnsi="Times New Roman" w:cs="Times New Roman"/>
          <w:color w:val="000000" w:themeColor="text1"/>
          <w:sz w:val="28"/>
          <w:szCs w:val="28"/>
          <w:highlight w:val="none"/>
          <w14:textFill>
            <w14:solidFill>
              <w14:schemeClr w14:val="tx1"/>
            </w14:solidFill>
          </w14:textFill>
        </w:rPr>
        <w:t>方式进行计算。</w:t>
      </w:r>
    </w:p>
    <w:p w14:paraId="47EB34E5">
      <w:pPr>
        <w:pStyle w:val="6"/>
        <w:numPr>
          <w:ilvl w:val="1"/>
          <w:numId w:val="5"/>
        </w:numPr>
        <w:tabs>
          <w:tab w:val="left" w:pos="0"/>
        </w:tabs>
        <w:jc w:val="left"/>
        <w:outlineLvl w:val="1"/>
        <w:rPr>
          <w:rFonts w:hint="eastAsia"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计算结果要求</w:t>
      </w:r>
    </w:p>
    <w:p w14:paraId="25590930">
      <w:pPr>
        <w:numPr>
          <w:ilvl w:val="2"/>
          <w:numId w:val="5"/>
        </w:numPr>
        <w:tabs>
          <w:tab w:val="left" w:pos="0"/>
        </w:tabs>
        <w:jc w:val="left"/>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各种运行方式下的系统运行电压水平应符合现行行业标准《电力系统无功补偿及调压设计技术导则》DL/T 5554</w:t>
      </w:r>
      <w:r>
        <w:rPr>
          <w:rFonts w:hint="eastAsia" w:ascii="Times New Roman" w:hAnsi="Times New Roman" w:cs="Times New Roman"/>
          <w:color w:val="000000" w:themeColor="text1"/>
          <w:sz w:val="28"/>
          <w:szCs w:val="28"/>
          <w:highlight w:val="none"/>
          <w14:textFill>
            <w14:solidFill>
              <w14:schemeClr w14:val="tx1"/>
            </w14:solidFill>
          </w14:textFill>
        </w:rPr>
        <w:t>与</w:t>
      </w:r>
      <w:r>
        <w:rPr>
          <w:rFonts w:ascii="Times New Roman" w:hAnsi="Times New Roman" w:cs="Times New Roman"/>
          <w:color w:val="000000" w:themeColor="text1"/>
          <w:sz w:val="28"/>
          <w:szCs w:val="28"/>
          <w:highlight w:val="none"/>
          <w14:textFill>
            <w14:solidFill>
              <w14:schemeClr w14:val="tx1"/>
            </w14:solidFill>
          </w14:textFill>
        </w:rPr>
        <w:t>《电力系统</w:t>
      </w:r>
      <w:r>
        <w:rPr>
          <w:rFonts w:hint="eastAsia" w:ascii="Times New Roman" w:hAnsi="Times New Roman" w:cs="Times New Roman"/>
          <w:color w:val="000000" w:themeColor="text1"/>
          <w:sz w:val="28"/>
          <w:szCs w:val="28"/>
          <w:highlight w:val="none"/>
          <w14:textFill>
            <w14:solidFill>
              <w14:schemeClr w14:val="tx1"/>
            </w14:solidFill>
          </w14:textFill>
        </w:rPr>
        <w:t>电压和无功电力技术导则</w:t>
      </w:r>
      <w:r>
        <w:rPr>
          <w:rFonts w:ascii="Times New Roman" w:hAnsi="Times New Roman" w:cs="Times New Roman"/>
          <w:color w:val="000000" w:themeColor="text1"/>
          <w:sz w:val="28"/>
          <w:szCs w:val="28"/>
          <w:highlight w:val="none"/>
          <w14:textFill>
            <w14:solidFill>
              <w14:schemeClr w14:val="tx1"/>
            </w14:solidFill>
          </w14:textFill>
        </w:rPr>
        <w:t>》</w:t>
      </w:r>
      <w:r>
        <w:rPr>
          <w:rFonts w:hint="eastAsia" w:ascii="Times New Roman" w:hAnsi="Times New Roman" w:cs="Times New Roman"/>
          <w:color w:val="000000" w:themeColor="text1"/>
          <w:sz w:val="28"/>
          <w:szCs w:val="28"/>
          <w:highlight w:val="none"/>
          <w14:textFill>
            <w14:solidFill>
              <w14:schemeClr w14:val="tx1"/>
            </w14:solidFill>
          </w14:textFill>
        </w:rPr>
        <w:t>G</w:t>
      </w:r>
      <w:r>
        <w:rPr>
          <w:rFonts w:ascii="Times New Roman" w:hAnsi="Times New Roman" w:cs="Times New Roman"/>
          <w:color w:val="000000" w:themeColor="text1"/>
          <w:sz w:val="28"/>
          <w:szCs w:val="28"/>
          <w:highlight w:val="none"/>
          <w14:textFill>
            <w14:solidFill>
              <w14:schemeClr w14:val="tx1"/>
            </w14:solidFill>
          </w14:textFill>
        </w:rPr>
        <w:t>B/T 40427的规定</w:t>
      </w:r>
      <w:r>
        <w:rPr>
          <w:rFonts w:hint="eastAsia" w:ascii="Times New Roman" w:hAnsi="Times New Roman" w:cs="Times New Roman"/>
          <w:color w:val="000000" w:themeColor="text1"/>
          <w:sz w:val="28"/>
          <w:szCs w:val="28"/>
          <w:highlight w:val="none"/>
          <w14:textFill>
            <w14:solidFill>
              <w14:schemeClr w14:val="tx1"/>
            </w14:solidFill>
          </w14:textFill>
        </w:rPr>
        <w:t>，若不符合，须对无功配置方案进行调整并重新进行调相调压校验。</w:t>
      </w:r>
    </w:p>
    <w:p w14:paraId="66D507AF">
      <w:pPr>
        <w:numPr>
          <w:ilvl w:val="2"/>
          <w:numId w:val="5"/>
        </w:numPr>
        <w:tabs>
          <w:tab w:val="left" w:pos="0"/>
        </w:tabs>
        <w:jc w:val="left"/>
        <w:rPr>
          <w:rFonts w:ascii="Times New Roman" w:hAnsi="Times New Roman" w:cs="Times New Roman"/>
          <w:color w:val="000000" w:themeColor="text1"/>
          <w:sz w:val="28"/>
          <w:szCs w:val="28"/>
          <w:highlight w:val="none"/>
          <w14:textFill>
            <w14:solidFill>
              <w14:schemeClr w14:val="tx1"/>
            </w14:solidFill>
          </w14:textFill>
        </w:rPr>
      </w:pPr>
      <w:bookmarkStart w:id="24" w:name="_Hlk230944909"/>
      <w:r>
        <w:rPr>
          <w:rFonts w:hint="eastAsia" w:ascii="Times New Roman" w:hAnsi="Times New Roman" w:cs="Times New Roman"/>
          <w:color w:val="000000" w:themeColor="text1"/>
          <w:sz w:val="28"/>
          <w:szCs w:val="28"/>
          <w:highlight w:val="none"/>
          <w14:textFill>
            <w14:solidFill>
              <w14:schemeClr w14:val="tx1"/>
            </w14:solidFill>
          </w14:textFill>
        </w:rPr>
        <w:t>应结合通用设计、通用设备及周边电网实际运行情况，初步拟订几种变压器的调压方式，通过调相调压计算确定推荐方案，包括有载或无励磁、调压范围、分接头挡位数及安装位置。电厂升压变选择时，还应注意发电机组功率因数运行范围的合理性。</w:t>
      </w:r>
    </w:p>
    <w:p w14:paraId="1594B9B1">
      <w:pPr>
        <w:spacing w:line="360" w:lineRule="auto"/>
        <w:rPr>
          <w:rFonts w:hint="eastAsia" w:ascii="Times New Roman" w:hAnsi="Times New Roman" w:cs="Times New Roman" w:eastAsiaTheme="minorEastAsia"/>
          <w:color w:val="000000" w:themeColor="text1"/>
          <w:sz w:val="28"/>
          <w:szCs w:val="28"/>
          <w:highlight w:val="none"/>
          <w:lang w:eastAsia="zh-CN"/>
          <w14:textFill>
            <w14:solidFill>
              <w14:schemeClr w14:val="tx1"/>
            </w14:solidFill>
          </w14:textFill>
        </w:rPr>
      </w:pPr>
    </w:p>
    <w:bookmarkEnd w:id="24"/>
    <w:p w14:paraId="0C1B5B23">
      <w:pPr>
        <w:numPr>
          <w:ilvl w:val="0"/>
          <w:numId w:val="5"/>
        </w:numPr>
        <w:jc w:val="center"/>
        <w:outlineLvl w:val="0"/>
        <w:rPr>
          <w:rFonts w:ascii="Times New Roman" w:hAnsi="Times New Roman" w:cs="Times New Roman"/>
          <w:color w:val="000000" w:themeColor="text1"/>
          <w:sz w:val="28"/>
          <w:szCs w:val="28"/>
          <w:highlight w:val="none"/>
          <w14:textFill>
            <w14:solidFill>
              <w14:schemeClr w14:val="tx1"/>
            </w14:solidFill>
          </w14:textFill>
        </w:rPr>
      </w:pPr>
      <w:bookmarkStart w:id="25" w:name="_Toc6948"/>
      <w:r>
        <w:rPr>
          <w:rFonts w:hint="eastAsia" w:ascii="Times New Roman" w:hAnsi="Times New Roman" w:eastAsia="黑体" w:cs="黑体"/>
          <w:color w:val="000000" w:themeColor="text1"/>
          <w:sz w:val="28"/>
          <w:szCs w:val="28"/>
          <w:highlight w:val="none"/>
          <w14:textFill>
            <w14:solidFill>
              <w14:schemeClr w14:val="tx1"/>
            </w14:solidFill>
          </w14:textFill>
        </w:rPr>
        <w:t>工频过电压及潜供电流计算</w:t>
      </w:r>
      <w:bookmarkEnd w:id="25"/>
    </w:p>
    <w:p w14:paraId="6E76D317">
      <w:pPr>
        <w:pStyle w:val="6"/>
        <w:numPr>
          <w:ilvl w:val="1"/>
          <w:numId w:val="5"/>
        </w:numPr>
        <w:tabs>
          <w:tab w:val="left" w:pos="0"/>
        </w:tabs>
        <w:jc w:val="left"/>
        <w:outlineLvl w:val="1"/>
        <w:rPr>
          <w:rFonts w:hint="eastAsia"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计算目的</w:t>
      </w:r>
    </w:p>
    <w:p w14:paraId="5F8D08B3">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工频过电压计算应校验电网500kV及以上电压交流线路的工频过电压水平</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为线路是否装设高压并联电抗器提供依据。</w:t>
      </w:r>
    </w:p>
    <w:p w14:paraId="409391DF">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潜供电流计算应校验电网500kV及以上电压交流线路的潜供电流和恢复电压水平</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为线路是否装设高压并联电抗器及中性点小电抗、能否采用单相快速重合闸提供依据。</w:t>
      </w:r>
    </w:p>
    <w:p w14:paraId="784FDF7D">
      <w:pPr>
        <w:pStyle w:val="6"/>
        <w:numPr>
          <w:ilvl w:val="1"/>
          <w:numId w:val="5"/>
        </w:numPr>
        <w:tabs>
          <w:tab w:val="left" w:pos="0"/>
        </w:tabs>
        <w:jc w:val="left"/>
        <w:outlineLvl w:val="1"/>
        <w:rPr>
          <w:rFonts w:hint="eastAsia"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计算方式</w:t>
      </w:r>
    </w:p>
    <w:p w14:paraId="2B3DC98E">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工频过电压计算运行方式的选择应以正常运行方式为基础,加上一重非正常运行方式及一重故障形式。运行方式应符合下列原则:</w:t>
      </w:r>
    </w:p>
    <w:p w14:paraId="60BBED4A">
      <w:pPr>
        <w:tabs>
          <w:tab w:val="left" w:pos="0"/>
        </w:tabs>
        <w:ind w:firstLine="560" w:firstLineChars="200"/>
        <w:rPr>
          <w:rFonts w:ascii="Times New Roman" w:hAnsi="Times New Roman" w:cs="Times New Roman"/>
          <w:color w:val="000000" w:themeColor="text1"/>
          <w:sz w:val="28"/>
          <w:szCs w:val="28"/>
          <w:highlight w:val="none"/>
          <w14:textFill>
            <w14:solidFill>
              <w14:schemeClr w14:val="tx1"/>
            </w14:solidFill>
          </w14:textFill>
        </w:rPr>
      </w:pPr>
      <w:r>
        <w:rPr>
          <w:rFonts w:hint="eastAsia" w:ascii="Times New Roman" w:hAnsi="Times New Roman" w:cs="Times New Roman"/>
          <w:color w:val="000000" w:themeColor="text1"/>
          <w:sz w:val="28"/>
          <w:szCs w:val="28"/>
          <w:highlight w:val="none"/>
          <w14:textFill>
            <w14:solidFill>
              <w14:schemeClr w14:val="tx1"/>
            </w14:solidFill>
          </w14:textFill>
        </w:rPr>
        <w:t>（1）</w:t>
      </w:r>
      <w:r>
        <w:rPr>
          <w:rFonts w:ascii="Times New Roman" w:hAnsi="Times New Roman" w:cs="Times New Roman"/>
          <w:color w:val="000000" w:themeColor="text1"/>
          <w:sz w:val="28"/>
          <w:szCs w:val="28"/>
          <w:highlight w:val="none"/>
          <w14:textFill>
            <w14:solidFill>
              <w14:schemeClr w14:val="tx1"/>
            </w14:solidFill>
          </w14:textFill>
        </w:rPr>
        <w:t>正常运行方式应包括过渡年发电厂单机运行、电网解环运行等</w:t>
      </w:r>
      <w:r>
        <w:rPr>
          <w:rFonts w:hint="eastAsia" w:ascii="Times New Roman" w:hAnsi="Times New Roman" w:cs="Times New Roman"/>
          <w:color w:val="000000" w:themeColor="text1"/>
          <w:sz w:val="28"/>
          <w:szCs w:val="28"/>
          <w:highlight w:val="none"/>
          <w14:textFill>
            <w14:solidFill>
              <w14:schemeClr w14:val="tx1"/>
            </w14:solidFill>
          </w14:textFill>
        </w:rPr>
        <w:t>。</w:t>
      </w:r>
    </w:p>
    <w:p w14:paraId="0B57630E">
      <w:pPr>
        <w:tabs>
          <w:tab w:val="left" w:pos="0"/>
        </w:tabs>
        <w:ind w:firstLine="560" w:firstLineChars="200"/>
        <w:rPr>
          <w:rFonts w:ascii="Times New Roman" w:hAnsi="Times New Roman" w:cs="Times New Roman"/>
          <w:color w:val="000000" w:themeColor="text1"/>
          <w:sz w:val="28"/>
          <w:szCs w:val="28"/>
          <w:highlight w:val="none"/>
          <w14:textFill>
            <w14:solidFill>
              <w14:schemeClr w14:val="tx1"/>
            </w14:solidFill>
          </w14:textFill>
        </w:rPr>
      </w:pPr>
      <w:r>
        <w:rPr>
          <w:rFonts w:hint="eastAsia" w:ascii="Times New Roman" w:hAnsi="Times New Roman" w:cs="Times New Roman"/>
          <w:color w:val="000000" w:themeColor="text1"/>
          <w:sz w:val="28"/>
          <w:szCs w:val="28"/>
          <w:highlight w:val="none"/>
          <w14:textFill>
            <w14:solidFill>
              <w14:schemeClr w14:val="tx1"/>
            </w14:solidFill>
          </w14:textFill>
        </w:rPr>
        <w:t>（2）</w:t>
      </w:r>
      <w:r>
        <w:rPr>
          <w:rFonts w:ascii="Times New Roman" w:hAnsi="Times New Roman" w:cs="Times New Roman"/>
          <w:color w:val="000000" w:themeColor="text1"/>
          <w:sz w:val="28"/>
          <w:szCs w:val="28"/>
          <w:highlight w:val="none"/>
          <w14:textFill>
            <w14:solidFill>
              <w14:schemeClr w14:val="tx1"/>
            </w14:solidFill>
          </w14:textFill>
        </w:rPr>
        <w:t>非正常运行方式包括故障时局部系统解列、联络变压器退出运行、中间变电站的一台主变压器退出运行等,但单相变压器组有备用相时</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可不考虑该变压器组退出运行。</w:t>
      </w:r>
    </w:p>
    <w:p w14:paraId="47859348">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工频过电压计算故障形式可取线路一侧发生单相接地故障、三相断开和无故障三相断开两种情况。潜供电流计算故障形式取线路一侧发生单相接地故障、故障相单线两端断开方式。</w:t>
      </w:r>
    </w:p>
    <w:p w14:paraId="712A3C47">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潜供电流计算运行方式的选择应以正常运行方式为基础，选择线路输送功率大、运行电压高的方式。</w:t>
      </w:r>
    </w:p>
    <w:p w14:paraId="6AFD7A4E">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潜供电流计算必要时应考虑线路不完全换位和同塔多回路架设的影响。</w:t>
      </w:r>
    </w:p>
    <w:p w14:paraId="1949E40C">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故障地点应选取线路两侧变电站或电厂出口处。</w:t>
      </w:r>
    </w:p>
    <w:p w14:paraId="42BE4E71">
      <w:pPr>
        <w:pStyle w:val="6"/>
        <w:numPr>
          <w:ilvl w:val="1"/>
          <w:numId w:val="5"/>
        </w:numPr>
        <w:tabs>
          <w:tab w:val="left" w:pos="0"/>
        </w:tabs>
        <w:jc w:val="left"/>
        <w:outlineLvl w:val="1"/>
        <w:rPr>
          <w:rFonts w:hint="eastAsia" w:ascii="Times New Roman" w:hAnsi="Times New Roman" w:eastAsia="黑体" w:cs="黑体"/>
          <w:color w:val="000000" w:themeColor="text1"/>
          <w:sz w:val="28"/>
          <w:szCs w:val="28"/>
          <w:highlight w:val="none"/>
          <w14:textFill>
            <w14:solidFill>
              <w14:schemeClr w14:val="tx1"/>
            </w14:solidFill>
          </w14:textFill>
        </w:rPr>
      </w:pPr>
      <w:r>
        <w:rPr>
          <w:rFonts w:hint="eastAsia" w:ascii="Times New Roman" w:hAnsi="Times New Roman" w:eastAsia="黑体" w:cs="黑体"/>
          <w:color w:val="000000" w:themeColor="text1"/>
          <w:sz w:val="28"/>
          <w:szCs w:val="28"/>
          <w:highlight w:val="none"/>
          <w14:textFill>
            <w14:solidFill>
              <w14:schemeClr w14:val="tx1"/>
            </w14:solidFill>
          </w14:textFill>
        </w:rPr>
        <w:t>计算结果要求</w:t>
      </w:r>
    </w:p>
    <w:p w14:paraId="19D413BA">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500kV及以上电网线路断路器的变电站侧及线路侧的工频过电压水平分别不宜超过系统最高相电压的1.3倍及1.4倍。</w:t>
      </w:r>
    </w:p>
    <w:p w14:paraId="780595C4">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500kV及以上线路装设高压并联电抗器时</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应验算工频谐振过电压。</w:t>
      </w:r>
    </w:p>
    <w:p w14:paraId="688414C0">
      <w:pPr>
        <w:numPr>
          <w:ilvl w:val="2"/>
          <w:numId w:val="5"/>
        </w:numPr>
        <w:tabs>
          <w:tab w:val="left" w:pos="0"/>
        </w:tabs>
        <w:jc w:val="left"/>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当发电厂单机单变带空载长线路时，必须核算发电机自励磁过电压问题。</w:t>
      </w:r>
    </w:p>
    <w:p w14:paraId="2E1CE8E9">
      <w:pPr>
        <w:tabs>
          <w:tab w:val="left" w:pos="0"/>
        </w:tabs>
        <w:ind w:firstLine="560" w:firstLineChars="200"/>
        <w:rPr>
          <w:rFonts w:hint="eastAsia" w:ascii="Times New Roman" w:hAnsi="Times New Roman" w:cs="Times New Roman" w:eastAsiaTheme="minorEastAsia"/>
          <w:color w:val="000000" w:themeColor="text1"/>
          <w:sz w:val="28"/>
          <w:szCs w:val="28"/>
          <w:highlight w:val="none"/>
          <w:lang w:eastAsia="zh-CN"/>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不发生自励磁的判据为</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p>
    <w:p w14:paraId="26200059">
      <w:pPr>
        <w:tabs>
          <w:tab w:val="left" w:pos="0"/>
        </w:tabs>
        <w:jc w:val="right"/>
        <w:rPr>
          <w:rFonts w:hint="default" w:ascii="Times New Roman" w:hAnsi="Times New Roman" w:cs="Times New Roman" w:eastAsiaTheme="minorEastAsia"/>
          <w:color w:val="000000" w:themeColor="text1"/>
          <w:sz w:val="28"/>
          <w:szCs w:val="28"/>
          <w:highlight w:val="none"/>
          <w:lang w:val="en-US" w:eastAsia="zh-CN"/>
          <w14:textFill>
            <w14:solidFill>
              <w14:schemeClr w14:val="tx1"/>
            </w14:solidFill>
          </w14:textFill>
        </w:rPr>
      </w:pPr>
      <m:oMath>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W</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H</m:t>
            </m:r>
            <m:ctrlPr>
              <w:rPr>
                <w:rFonts w:ascii="Cambria Math" w:hAnsi="Cambria Math" w:cs="Times New Roman"/>
                <w:i/>
                <w:color w:val="000000" w:themeColor="text1"/>
                <w:sz w:val="28"/>
                <w:szCs w:val="28"/>
                <w:highlight w:val="none"/>
                <w14:textFill>
                  <w14:solidFill>
                    <w14:schemeClr w14:val="tx1"/>
                  </w14:solidFill>
                </w14:textFill>
              </w:rPr>
            </m:ctrlPr>
          </m:sub>
        </m:sSub>
        <m:r>
          <m:rPr/>
          <w:rPr>
            <w:rFonts w:ascii="Times New Roman" w:hAnsi="Times New Roman" w:cs="Times New Roman"/>
            <w:color w:val="000000" w:themeColor="text1"/>
            <w:sz w:val="28"/>
            <w:szCs w:val="28"/>
            <w:highlight w:val="none"/>
            <w14:textFill>
              <w14:solidFill>
                <w14:schemeClr w14:val="tx1"/>
              </w14:solidFill>
            </w14:textFill>
          </w:rPr>
          <m:t>&gt;</m:t>
        </m:r>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Q</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c</m:t>
            </m:r>
            <m:ctrlPr>
              <w:rPr>
                <w:rFonts w:ascii="Cambria Math" w:hAnsi="Cambria Math" w:cs="Times New Roman"/>
                <w:i/>
                <w:color w:val="000000" w:themeColor="text1"/>
                <w:sz w:val="28"/>
                <w:szCs w:val="28"/>
                <w:highlight w:val="none"/>
                <w14:textFill>
                  <w14:solidFill>
                    <w14:schemeClr w14:val="tx1"/>
                  </w14:solidFill>
                </w14:textFill>
              </w:rPr>
            </m:ctrlPr>
          </m:sub>
        </m:sSub>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X</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d</m:t>
            </m:r>
            <m:ctrlPr>
              <w:rPr>
                <w:rFonts w:ascii="Cambria Math" w:hAnsi="Cambria Math" w:cs="Times New Roman"/>
                <w:i/>
                <w:color w:val="000000" w:themeColor="text1"/>
                <w:sz w:val="28"/>
                <w:szCs w:val="28"/>
                <w:highlight w:val="none"/>
                <w14:textFill>
                  <w14:solidFill>
                    <w14:schemeClr w14:val="tx1"/>
                  </w14:solidFill>
                </w14:textFill>
              </w:rPr>
            </m:ctrlPr>
          </m:sub>
        </m:sSub>
      </m:oMath>
      <w:r>
        <w:rPr>
          <w:rFonts w:ascii="Times New Roman" w:hAnsi="Times New Roman" w:cs="Times New Roman"/>
          <w:color w:val="000000" w:themeColor="text1"/>
          <w:sz w:val="28"/>
          <w:szCs w:val="28"/>
          <w:highlight w:val="none"/>
          <w14:textFill>
            <w14:solidFill>
              <w14:schemeClr w14:val="tx1"/>
            </w14:solidFill>
          </w14:textFill>
        </w:rPr>
        <w:t>*</w:t>
      </w:r>
      <w:r>
        <w:rPr>
          <w:rFonts w:hint="eastAsia" w:ascii="Times New Roman" w:hAnsi="Times New Roman" w:cs="Times New Roman"/>
          <w:color w:val="000000" w:themeColor="text1"/>
          <w:sz w:val="28"/>
          <w:szCs w:val="28"/>
          <w:highlight w:val="none"/>
          <w:lang w:val="en-US" w:eastAsia="zh-CN"/>
          <w14:textFill>
            <w14:solidFill>
              <w14:schemeClr w14:val="tx1"/>
            </w14:solidFill>
          </w14:textFill>
        </w:rPr>
        <w:t xml:space="preserve">               （10-1）</w:t>
      </w:r>
    </w:p>
    <w:p w14:paraId="34BA17AC">
      <w:pPr>
        <w:tabs>
          <w:tab w:val="left" w:pos="0"/>
        </w:tabs>
        <w:ind w:firstLine="560" w:firstLineChars="200"/>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式中:</w:t>
      </w:r>
    </w:p>
    <w:p w14:paraId="622AE3F2">
      <w:pPr>
        <w:tabs>
          <w:tab w:val="left" w:pos="0"/>
        </w:tabs>
        <w:ind w:firstLine="560" w:firstLineChars="200"/>
        <w:rPr>
          <w:rFonts w:hint="eastAsia" w:ascii="Times New Roman" w:hAnsi="Times New Roman" w:cs="Times New Roman" w:eastAsiaTheme="minorEastAsia"/>
          <w:color w:val="000000" w:themeColor="text1"/>
          <w:sz w:val="28"/>
          <w:szCs w:val="28"/>
          <w:highlight w:val="none"/>
          <w:lang w:eastAsia="zh-CN"/>
          <w14:textFill>
            <w14:solidFill>
              <w14:schemeClr w14:val="tx1"/>
            </w14:solidFill>
          </w14:textFill>
        </w:rPr>
      </w:pPr>
      <m:oMath>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W</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H</m:t>
            </m:r>
            <m:ctrlPr>
              <w:rPr>
                <w:rFonts w:ascii="Cambria Math" w:hAnsi="Cambria Math" w:cs="Times New Roman"/>
                <w:i/>
                <w:color w:val="000000" w:themeColor="text1"/>
                <w:sz w:val="28"/>
                <w:szCs w:val="28"/>
                <w:highlight w:val="none"/>
                <w14:textFill>
                  <w14:solidFill>
                    <w14:schemeClr w14:val="tx1"/>
                  </w14:solidFill>
                </w14:textFill>
              </w:rPr>
            </m:ctrlPr>
          </m:sub>
        </m:sSub>
      </m:oMath>
      <w:r>
        <w:rPr>
          <w:rFonts w:ascii="Times New Roman" w:hAnsi="Times New Roman" w:cs="Times New Roman"/>
          <w:color w:val="000000" w:themeColor="text1"/>
          <w:sz w:val="28"/>
          <w:szCs w:val="28"/>
          <w:highlight w:val="none"/>
          <w14:textFill>
            <w14:solidFill>
              <w14:schemeClr w14:val="tx1"/>
            </w14:solidFill>
          </w14:textFill>
        </w:rPr>
        <w:t>——发电机额定容量，MVA</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p>
    <w:p w14:paraId="2277992D">
      <w:pPr>
        <w:tabs>
          <w:tab w:val="left" w:pos="0"/>
        </w:tabs>
        <w:ind w:firstLine="560" w:firstLineChars="200"/>
        <w:rPr>
          <w:rFonts w:ascii="Times New Roman" w:hAnsi="Times New Roman" w:cs="Times New Roman"/>
          <w:color w:val="000000" w:themeColor="text1"/>
          <w:sz w:val="28"/>
          <w:szCs w:val="28"/>
          <w:highlight w:val="none"/>
          <w14:textFill>
            <w14:solidFill>
              <w14:schemeClr w14:val="tx1"/>
            </w14:solidFill>
          </w14:textFill>
        </w:rPr>
      </w:pPr>
      <m:oMath>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Q</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c</m:t>
            </m:r>
            <m:ctrlPr>
              <w:rPr>
                <w:rFonts w:ascii="Cambria Math" w:hAnsi="Cambria Math" w:cs="Times New Roman"/>
                <w:i/>
                <w:color w:val="000000" w:themeColor="text1"/>
                <w:sz w:val="28"/>
                <w:szCs w:val="28"/>
                <w:highlight w:val="none"/>
                <w14:textFill>
                  <w14:solidFill>
                    <w14:schemeClr w14:val="tx1"/>
                  </w14:solidFill>
                </w14:textFill>
              </w:rPr>
            </m:ctrlPr>
          </m:sub>
        </m:sSub>
      </m:oMath>
      <w:r>
        <w:rPr>
          <w:rFonts w:ascii="Times New Roman" w:hAnsi="Times New Roman" w:cs="Times New Roman"/>
          <w:color w:val="000000" w:themeColor="text1"/>
          <w:sz w:val="28"/>
          <w:szCs w:val="28"/>
          <w:highlight w:val="none"/>
          <w14:textFill>
            <w14:solidFill>
              <w14:schemeClr w14:val="tx1"/>
            </w14:solidFill>
          </w14:textFill>
        </w:rPr>
        <w:t>——线路充电功率，Mvar;</w:t>
      </w:r>
    </w:p>
    <w:p w14:paraId="613C1A27">
      <w:pPr>
        <w:tabs>
          <w:tab w:val="left" w:pos="0"/>
        </w:tabs>
        <w:ind w:firstLine="560" w:firstLineChars="200"/>
        <w:rPr>
          <w:rFonts w:ascii="Times New Roman" w:hAnsi="Times New Roman" w:cs="Times New Roman"/>
          <w:color w:val="000000" w:themeColor="text1"/>
          <w:sz w:val="28"/>
          <w:szCs w:val="28"/>
          <w:highlight w:val="none"/>
          <w14:textFill>
            <w14:solidFill>
              <w14:schemeClr w14:val="tx1"/>
            </w14:solidFill>
          </w14:textFill>
        </w:rPr>
      </w:pPr>
      <m:oMath>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X</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d</m:t>
            </m:r>
            <m:ctrlPr>
              <w:rPr>
                <w:rFonts w:ascii="Cambria Math" w:hAnsi="Cambria Math" w:cs="Times New Roman"/>
                <w:i/>
                <w:color w:val="000000" w:themeColor="text1"/>
                <w:sz w:val="28"/>
                <w:szCs w:val="28"/>
                <w:highlight w:val="none"/>
                <w14:textFill>
                  <w14:solidFill>
                    <w14:schemeClr w14:val="tx1"/>
                  </w14:solidFill>
                </w14:textFill>
              </w:rPr>
            </m:ctrlPr>
          </m:sub>
        </m:sSub>
      </m:oMath>
      <w:r>
        <w:rPr>
          <w:rFonts w:ascii="Times New Roman" w:hAnsi="Times New Roman" w:cs="Times New Roman"/>
          <w:color w:val="000000" w:themeColor="text1"/>
          <w:sz w:val="28"/>
          <w:szCs w:val="28"/>
          <w:highlight w:val="none"/>
          <w14:textFill>
            <w14:solidFill>
              <w14:schemeClr w14:val="tx1"/>
            </w14:solidFill>
          </w14:textFill>
        </w:rPr>
        <w:t>*——发电机等值同步电抗(包括升压变压器，以发电机容量为基准)标幺值。</w:t>
      </w:r>
    </w:p>
    <w:p w14:paraId="59C43CF5">
      <w:pPr>
        <w:tabs>
          <w:tab w:val="left" w:pos="0"/>
        </w:tabs>
        <w:ind w:firstLine="560" w:firstLineChars="200"/>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当发电机容量小于上值时，可采取以下措施:</w:t>
      </w:r>
    </w:p>
    <w:p w14:paraId="58636755">
      <w:pPr>
        <w:tabs>
          <w:tab w:val="left" w:pos="0"/>
        </w:tabs>
        <w:ind w:firstLine="560" w:firstLineChars="200"/>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1）避免单机带空载长线。</w:t>
      </w:r>
    </w:p>
    <w:p w14:paraId="78800A08">
      <w:pPr>
        <w:tabs>
          <w:tab w:val="left" w:pos="0"/>
        </w:tabs>
        <w:ind w:firstLine="560" w:firstLineChars="200"/>
        <w:rPr>
          <w:rFonts w:hint="eastAsia" w:ascii="Times New Roman" w:hAnsi="Times New Roman" w:cs="Times New Roman" w:eastAsiaTheme="minorEastAsia"/>
          <w:color w:val="000000" w:themeColor="text1"/>
          <w:sz w:val="28"/>
          <w:szCs w:val="28"/>
          <w:highlight w:val="none"/>
          <w:lang w:eastAsia="zh-CN"/>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2）装设高压并联电抗器，使发电机同步电抗</w:t>
      </w:r>
      <m:oMath>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X</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d</m:t>
            </m:r>
            <m:ctrlPr>
              <w:rPr>
                <w:rFonts w:ascii="Cambria Math" w:hAnsi="Cambria Math" w:cs="Times New Roman"/>
                <w:i/>
                <w:color w:val="000000" w:themeColor="text1"/>
                <w:sz w:val="28"/>
                <w:szCs w:val="28"/>
                <w:highlight w:val="none"/>
                <w14:textFill>
                  <w14:solidFill>
                    <w14:schemeClr w14:val="tx1"/>
                  </w14:solidFill>
                </w14:textFill>
              </w:rPr>
            </m:ctrlPr>
          </m:sub>
        </m:sSub>
      </m:oMath>
      <w:r>
        <w:rPr>
          <w:rFonts w:ascii="Times New Roman" w:hAnsi="Times New Roman" w:cs="Times New Roman"/>
          <w:color w:val="000000" w:themeColor="text1"/>
          <w:sz w:val="28"/>
          <w:szCs w:val="28"/>
          <w:highlight w:val="none"/>
          <w14:textFill>
            <w14:solidFill>
              <w14:schemeClr w14:val="tx1"/>
            </w14:solidFill>
          </w14:textFill>
        </w:rPr>
        <w:t>小于线路等值容抗</w:t>
      </w:r>
      <m:oMath>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X</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c</m:t>
            </m:r>
            <m:ctrlPr>
              <w:rPr>
                <w:rFonts w:ascii="Cambria Math" w:hAnsi="Cambria Math" w:cs="Times New Roman"/>
                <w:i/>
                <w:color w:val="000000" w:themeColor="text1"/>
                <w:sz w:val="28"/>
                <w:szCs w:val="28"/>
                <w:highlight w:val="none"/>
                <w14:textFill>
                  <w14:solidFill>
                    <w14:schemeClr w14:val="tx1"/>
                  </w14:solidFill>
                </w14:textFill>
              </w:rPr>
            </m:ctrlPr>
          </m:sub>
        </m:sSub>
      </m:oMath>
      <w:r>
        <w:rPr>
          <w:rFonts w:ascii="Times New Roman" w:hAnsi="Times New Roman" w:cs="Times New Roman"/>
          <w:color w:val="000000" w:themeColor="text1"/>
          <w:sz w:val="28"/>
          <w:szCs w:val="28"/>
          <w:highlight w:val="none"/>
          <w14:textFill>
            <w14:solidFill>
              <w14:schemeClr w14:val="tx1"/>
            </w14:solidFill>
          </w14:textFill>
        </w:rPr>
        <w:t>(包括升压变压器及电抗器)，即</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p>
    <w:p w14:paraId="630DD329">
      <w:pPr>
        <w:tabs>
          <w:tab w:val="left" w:pos="0"/>
        </w:tabs>
        <w:jc w:val="center"/>
        <w:rPr>
          <w:rFonts w:ascii="Times New Roman" w:hAnsi="Times New Roman" w:cs="Times New Roman"/>
          <w:color w:val="000000" w:themeColor="text1"/>
          <w:sz w:val="28"/>
          <w:szCs w:val="28"/>
          <w:highlight w:val="none"/>
          <w14:textFill>
            <w14:solidFill>
              <w14:schemeClr w14:val="tx1"/>
            </w14:solidFill>
          </w14:textFill>
        </w:rPr>
      </w:pPr>
      <m:oMathPara>
        <m:oMath>
          <m:r>
            <m:rPr>
              <m:sty m:val="p"/>
            </m:rPr>
            <w:rPr>
              <w:rFonts w:ascii="Times New Roman" w:hAnsi="Times New Roman" w:cs="Times New Roman"/>
              <w:color w:val="000000" w:themeColor="text1"/>
              <w:sz w:val="28"/>
              <w:szCs w:val="28"/>
              <w:highlight w:val="none"/>
              <w14:textFill>
                <w14:solidFill>
                  <w14:schemeClr w14:val="tx1"/>
                </w14:solidFill>
              </w14:textFill>
            </w:rPr>
            <m:t>|</m:t>
          </m:r>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X</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d</m:t>
              </m:r>
              <m:ctrlPr>
                <w:rPr>
                  <w:rFonts w:ascii="Cambria Math" w:hAnsi="Cambria Math" w:cs="Times New Roman"/>
                  <w:i/>
                  <w:color w:val="000000" w:themeColor="text1"/>
                  <w:sz w:val="28"/>
                  <w:szCs w:val="28"/>
                  <w:highlight w:val="none"/>
                  <w14:textFill>
                    <w14:solidFill>
                      <w14:schemeClr w14:val="tx1"/>
                    </w14:solidFill>
                  </w14:textFill>
                </w:rPr>
              </m:ctrlPr>
            </m:sub>
          </m:sSub>
          <m:r>
            <m:rPr/>
            <w:rPr>
              <w:rFonts w:ascii="Times New Roman" w:hAnsi="Times New Roman" w:cs="Times New Roman"/>
              <w:color w:val="000000" w:themeColor="text1"/>
              <w:sz w:val="28"/>
              <w:szCs w:val="28"/>
              <w:highlight w:val="none"/>
              <w14:textFill>
                <w14:solidFill>
                  <w14:schemeClr w14:val="tx1"/>
                </w14:solidFill>
              </w14:textFill>
            </w:rPr>
            <m:t>|&lt;|</m:t>
          </m:r>
          <m:sSub>
            <m:sSubPr>
              <m:ctrlPr>
                <w:rPr>
                  <w:rFonts w:ascii="Cambria Math" w:hAnsi="Cambria Math" w:cs="Times New Roman"/>
                  <w:i/>
                  <w:color w:val="000000" w:themeColor="text1"/>
                  <w:sz w:val="28"/>
                  <w:szCs w:val="28"/>
                  <w:highlight w:val="none"/>
                  <w14:textFill>
                    <w14:solidFill>
                      <w14:schemeClr w14:val="tx1"/>
                    </w14:solidFill>
                  </w14:textFill>
                </w:rPr>
              </m:ctrlPr>
            </m:sSubPr>
            <m:e>
              <m:r>
                <m:rPr/>
                <w:rPr>
                  <w:rFonts w:ascii="Times New Roman" w:hAnsi="Times New Roman" w:cs="Times New Roman"/>
                  <w:color w:val="000000" w:themeColor="text1"/>
                  <w:sz w:val="28"/>
                  <w:szCs w:val="28"/>
                  <w:highlight w:val="none"/>
                  <w14:textFill>
                    <w14:solidFill>
                      <w14:schemeClr w14:val="tx1"/>
                    </w14:solidFill>
                  </w14:textFill>
                </w:rPr>
                <m:t>X</m:t>
              </m:r>
              <m:ctrlPr>
                <w:rPr>
                  <w:rFonts w:ascii="Cambria Math" w:hAnsi="Cambria Math" w:cs="Times New Roman"/>
                  <w:i/>
                  <w:color w:val="000000" w:themeColor="text1"/>
                  <w:sz w:val="28"/>
                  <w:szCs w:val="28"/>
                  <w:highlight w:val="none"/>
                  <w14:textFill>
                    <w14:solidFill>
                      <w14:schemeClr w14:val="tx1"/>
                    </w14:solidFill>
                  </w14:textFill>
                </w:rPr>
              </m:ctrlPr>
            </m:e>
            <m:sub>
              <m:r>
                <m:rPr/>
                <w:rPr>
                  <w:rFonts w:ascii="Times New Roman" w:hAnsi="Times New Roman" w:cs="Times New Roman"/>
                  <w:color w:val="000000" w:themeColor="text1"/>
                  <w:sz w:val="28"/>
                  <w:szCs w:val="28"/>
                  <w:highlight w:val="none"/>
                  <w14:textFill>
                    <w14:solidFill>
                      <w14:schemeClr w14:val="tx1"/>
                    </w14:solidFill>
                  </w14:textFill>
                </w:rPr>
                <m:t>c</m:t>
              </m:r>
              <m:ctrlPr>
                <w:rPr>
                  <w:rFonts w:ascii="Cambria Math" w:hAnsi="Cambria Math" w:cs="Times New Roman"/>
                  <w:i/>
                  <w:color w:val="000000" w:themeColor="text1"/>
                  <w:sz w:val="28"/>
                  <w:szCs w:val="28"/>
                  <w:highlight w:val="none"/>
                  <w14:textFill>
                    <w14:solidFill>
                      <w14:schemeClr w14:val="tx1"/>
                    </w14:solidFill>
                  </w14:textFill>
                </w:rPr>
              </m:ctrlPr>
            </m:sub>
          </m:sSub>
          <m:r>
            <m:rPr/>
            <w:rPr>
              <w:rFonts w:ascii="Times New Roman" w:hAnsi="Times New Roman" w:cs="Times New Roman"/>
              <w:color w:val="000000" w:themeColor="text1"/>
              <w:sz w:val="28"/>
              <w:szCs w:val="28"/>
              <w:highlight w:val="none"/>
              <w14:textFill>
                <w14:solidFill>
                  <w14:schemeClr w14:val="tx1"/>
                </w14:solidFill>
              </w14:textFill>
            </w:rPr>
            <m:t>|</m:t>
          </m:r>
        </m:oMath>
      </m:oMathPara>
    </w:p>
    <w:p w14:paraId="094F802F">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500kV及以上线路高压并联电抗器宜通过中性点小电抗接地。中性点小电抗的选择应避免工频谐振过电压</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并满足限制潜供电流要求。</w:t>
      </w:r>
    </w:p>
    <w:p w14:paraId="49F547D7">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潜供电流的允许值与系统稳定需要的单相自动重合闸时间和潜供电弧的自灭时间相关。当需采用单相快速重合闸时</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未装设高压并联电抗器中性点小电抗的线路</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潜供电流允许值不宜大于10A</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装设有高压并联电抗器中性点小电抗的线路</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不宜大于30A。当系统不要求采用单相快速重合闸时</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未装设高压并联电抗器中性点小电抗的线路</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潜供电流允许值不宜大于30A。具体取值还应考虑恢复电压水平。</w:t>
      </w:r>
    </w:p>
    <w:p w14:paraId="61D1E8DB">
      <w:pPr>
        <w:numPr>
          <w:ilvl w:val="2"/>
          <w:numId w:val="5"/>
        </w:numPr>
        <w:tabs>
          <w:tab w:val="left" w:pos="0"/>
        </w:tabs>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t>计算潜供电流及恢复电压时</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对于装设有高压电抗器及中性点小电抗的线路</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还应考虑系统暂态过程中两相运行期间系统摇摆情况</w:t>
      </w:r>
      <w:r>
        <w:rPr>
          <w:rFonts w:hint="eastAsia" w:ascii="Times New Roman" w:hAnsi="Times New Roman" w:cs="Times New Roman"/>
          <w:color w:val="000000" w:themeColor="text1"/>
          <w:sz w:val="28"/>
          <w:szCs w:val="28"/>
          <w:highlight w:val="none"/>
          <w:lang w:eastAsia="zh-CN"/>
          <w14:textFill>
            <w14:solidFill>
              <w14:schemeClr w14:val="tx1"/>
            </w14:solidFill>
          </w14:textFill>
        </w:rPr>
        <w:t>，</w:t>
      </w:r>
      <w:r>
        <w:rPr>
          <w:rFonts w:ascii="Times New Roman" w:hAnsi="Times New Roman" w:cs="Times New Roman"/>
          <w:color w:val="000000" w:themeColor="text1"/>
          <w:sz w:val="28"/>
          <w:szCs w:val="28"/>
          <w:highlight w:val="none"/>
          <w14:textFill>
            <w14:solidFill>
              <w14:schemeClr w14:val="tx1"/>
            </w14:solidFill>
          </w14:textFill>
        </w:rPr>
        <w:t>并以摇摆期间潜供电流最大值作为设计依据。</w:t>
      </w:r>
    </w:p>
    <w:p w14:paraId="690EDA7A">
      <w:pPr>
        <w:spacing w:line="360" w:lineRule="auto"/>
        <w:rPr>
          <w:rFonts w:hint="eastAsia" w:ascii="Times New Roman" w:hAnsi="Times New Roman" w:cs="Times New Roman" w:eastAsiaTheme="minorEastAsia"/>
          <w:color w:val="000000" w:themeColor="text1"/>
          <w:sz w:val="28"/>
          <w:szCs w:val="28"/>
          <w:highlight w:val="none"/>
          <w:lang w:eastAsia="zh-CN"/>
          <w14:textFill>
            <w14:solidFill>
              <w14:schemeClr w14:val="tx1"/>
            </w14:solidFill>
          </w14:textFill>
        </w:rPr>
      </w:pPr>
    </w:p>
    <w:p w14:paraId="1A02DC62">
      <w:pPr>
        <w:numPr>
          <w:ilvl w:val="2"/>
          <w:numId w:val="5"/>
        </w:num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sectPr>
          <w:footerReference r:id="rId8" w:type="default"/>
          <w:pgSz w:w="11906" w:h="16838"/>
          <w:pgMar w:top="1440" w:right="1800" w:bottom="1440" w:left="1800" w:header="851" w:footer="992" w:gutter="0"/>
          <w:pgNumType w:fmt="decimal" w:start="1"/>
          <w:cols w:space="425" w:num="1"/>
          <w:docGrid w:type="lines" w:linePitch="312" w:charSpace="0"/>
        </w:sectPr>
      </w:pPr>
    </w:p>
    <w:p w14:paraId="77A4D02E">
      <w:pPr>
        <w:pStyle w:val="2"/>
        <w:numPr>
          <w:ilvl w:val="0"/>
          <w:numId w:val="0"/>
        </w:numPr>
        <w:rPr>
          <w:rFonts w:hint="eastAsia" w:ascii="Times New Roman" w:hAnsi="Times New Roman" w:eastAsia="黑体"/>
          <w:color w:val="000000" w:themeColor="text1"/>
          <w:highlight w:val="none"/>
          <w:lang w:val="en-US" w:eastAsia="zh-CN"/>
          <w14:textFill>
            <w14:solidFill>
              <w14:schemeClr w14:val="tx1"/>
            </w14:solidFill>
          </w14:textFill>
        </w:rPr>
      </w:pPr>
      <w:bookmarkStart w:id="26" w:name="_Toc17046"/>
      <w:r>
        <w:rPr>
          <w:rFonts w:hint="eastAsia" w:ascii="Times New Roman" w:hAnsi="Times New Roman"/>
          <w:color w:val="000000" w:themeColor="text1"/>
          <w:highlight w:val="none"/>
          <w:lang w:val="en-US" w:eastAsia="zh-CN"/>
          <w14:textFill>
            <w14:solidFill>
              <w14:schemeClr w14:val="tx1"/>
            </w14:solidFill>
          </w14:textFill>
        </w:rPr>
        <w:t>11 附录</w:t>
      </w:r>
      <w:bookmarkEnd w:id="26"/>
    </w:p>
    <w:p w14:paraId="6CA5108C">
      <w:pPr>
        <w:pStyle w:val="6"/>
        <w:numPr>
          <w:ilvl w:val="0"/>
          <w:numId w:val="0"/>
        </w:numPr>
        <w:tabs>
          <w:tab w:val="left" w:pos="0"/>
        </w:tabs>
        <w:ind w:leftChars="0"/>
        <w:jc w:val="center"/>
        <w:outlineLvl w:val="1"/>
        <w:rPr>
          <w:rFonts w:hint="eastAsia" w:ascii="Times New Roman" w:hAnsi="Times New Roman" w:eastAsia="黑体" w:cs="黑体"/>
          <w:color w:val="000000" w:themeColor="text1"/>
          <w:sz w:val="21"/>
          <w:szCs w:val="21"/>
          <w:highlight w:val="none"/>
          <w14:textFill>
            <w14:solidFill>
              <w14:schemeClr w14:val="tx1"/>
            </w14:solidFill>
          </w14:textFill>
        </w:rPr>
      </w:pP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附录1</w:t>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br w:type="textWrapping"/>
      </w:r>
      <w:r>
        <w:rPr>
          <w:rFonts w:hint="eastAsia" w:ascii="Times New Roman" w:hAnsi="Times New Roman" w:eastAsia="黑体" w:cs="黑体"/>
          <w:color w:val="000000" w:themeColor="text1"/>
          <w:sz w:val="21"/>
          <w:szCs w:val="21"/>
          <w:highlight w:val="none"/>
          <w14:textFill>
            <w14:solidFill>
              <w14:schemeClr w14:val="tx1"/>
            </w14:solidFill>
          </w14:textFill>
        </w:rPr>
        <w:t>典型方式参考数据</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2577"/>
        <w:gridCol w:w="1152"/>
        <w:gridCol w:w="3439"/>
      </w:tblGrid>
      <w:tr w14:paraId="3DC4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pct"/>
            <w:vAlign w:val="center"/>
          </w:tcPr>
          <w:p w14:paraId="6DF1917C">
            <w:pPr>
              <w:jc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sz w:val="21"/>
                <w:szCs w:val="21"/>
                <w:highlight w:val="none"/>
                <w14:textFill>
                  <w14:solidFill>
                    <w14:schemeClr w14:val="tx1"/>
                  </w14:solidFill>
                </w14:textFill>
              </w:rPr>
              <w:t>典型方式</w:t>
            </w:r>
          </w:p>
        </w:tc>
        <w:tc>
          <w:tcPr>
            <w:tcW w:w="1553" w:type="pct"/>
            <w:vAlign w:val="center"/>
          </w:tcPr>
          <w:p w14:paraId="07E5F960">
            <w:pPr>
              <w:jc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sz w:val="21"/>
                <w:szCs w:val="21"/>
                <w:highlight w:val="none"/>
                <w14:textFill>
                  <w14:solidFill>
                    <w14:schemeClr w14:val="tx1"/>
                  </w14:solidFill>
                </w14:textFill>
              </w:rPr>
              <w:t>方式定义</w:t>
            </w:r>
          </w:p>
        </w:tc>
        <w:tc>
          <w:tcPr>
            <w:tcW w:w="694" w:type="pct"/>
            <w:vAlign w:val="center"/>
          </w:tcPr>
          <w:p w14:paraId="33954B83">
            <w:pPr>
              <w:jc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sz w:val="21"/>
                <w:szCs w:val="21"/>
                <w:highlight w:val="none"/>
                <w14:textFill>
                  <w14:solidFill>
                    <w14:schemeClr w14:val="tx1"/>
                  </w14:solidFill>
                </w14:textFill>
              </w:rPr>
              <w:t>负荷系数</w:t>
            </w:r>
          </w:p>
        </w:tc>
        <w:tc>
          <w:tcPr>
            <w:tcW w:w="2072" w:type="pct"/>
            <w:vAlign w:val="center"/>
          </w:tcPr>
          <w:p w14:paraId="268CE1FF">
            <w:pPr>
              <w:jc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sz w:val="21"/>
                <w:szCs w:val="21"/>
                <w:highlight w:val="none"/>
                <w14:textFill>
                  <w14:solidFill>
                    <w14:schemeClr w14:val="tx1"/>
                  </w14:solidFill>
                </w14:textFill>
              </w:rPr>
              <w:t>开机方式</w:t>
            </w:r>
          </w:p>
        </w:tc>
      </w:tr>
      <w:tr w14:paraId="5175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80" w:type="pct"/>
            <w:vAlign w:val="center"/>
          </w:tcPr>
          <w:p w14:paraId="06C69C89">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夏季最大运行方式</w:t>
            </w:r>
          </w:p>
        </w:tc>
        <w:tc>
          <w:tcPr>
            <w:tcW w:w="1553" w:type="pct"/>
            <w:vAlign w:val="center"/>
          </w:tcPr>
          <w:p w14:paraId="68BA1BE6">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夏季最大负荷日最大负荷时刻电网运行方式</w:t>
            </w:r>
          </w:p>
        </w:tc>
        <w:tc>
          <w:tcPr>
            <w:tcW w:w="694" w:type="pct"/>
            <w:vAlign w:val="center"/>
          </w:tcPr>
          <w:p w14:paraId="447E8A77">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1.0</w:t>
            </w:r>
          </w:p>
        </w:tc>
        <w:tc>
          <w:tcPr>
            <w:tcW w:w="2072" w:type="pct"/>
            <w:vAlign w:val="center"/>
          </w:tcPr>
          <w:p w14:paraId="6F44FD8E">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核电、气电、煤电最大技术出力，抽蓄发电模式满出力</w:t>
            </w:r>
          </w:p>
        </w:tc>
      </w:tr>
      <w:tr w14:paraId="0755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80" w:type="pct"/>
            <w:vAlign w:val="center"/>
          </w:tcPr>
          <w:p w14:paraId="110A67A4">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夏季腰荷运行方式</w:t>
            </w:r>
          </w:p>
        </w:tc>
        <w:tc>
          <w:tcPr>
            <w:tcW w:w="1553" w:type="pct"/>
            <w:vAlign w:val="center"/>
          </w:tcPr>
          <w:p w14:paraId="357F15CC">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夏季最大负荷日气电关停时刻电网运行方式</w:t>
            </w:r>
          </w:p>
        </w:tc>
        <w:tc>
          <w:tcPr>
            <w:tcW w:w="694" w:type="pct"/>
            <w:vAlign w:val="center"/>
          </w:tcPr>
          <w:p w14:paraId="2405905C">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0.7</w:t>
            </w:r>
          </w:p>
        </w:tc>
        <w:tc>
          <w:tcPr>
            <w:tcW w:w="2072" w:type="pct"/>
            <w:vAlign w:val="center"/>
          </w:tcPr>
          <w:p w14:paraId="2AC50E9F">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核电最大技术出力，气电全停，煤电最小技术出力，抽蓄全停</w:t>
            </w:r>
          </w:p>
        </w:tc>
      </w:tr>
      <w:tr w14:paraId="5069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80" w:type="pct"/>
            <w:vAlign w:val="center"/>
          </w:tcPr>
          <w:p w14:paraId="12065CD5">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夏季最小运行方式</w:t>
            </w:r>
          </w:p>
        </w:tc>
        <w:tc>
          <w:tcPr>
            <w:tcW w:w="1553" w:type="pct"/>
            <w:vAlign w:val="center"/>
          </w:tcPr>
          <w:p w14:paraId="4DFD93CA">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夏季最大负荷日最小负荷时刻电网运行方式</w:t>
            </w:r>
          </w:p>
        </w:tc>
        <w:tc>
          <w:tcPr>
            <w:tcW w:w="694" w:type="pct"/>
            <w:vAlign w:val="center"/>
          </w:tcPr>
          <w:p w14:paraId="45C3E218">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0.6</w:t>
            </w:r>
          </w:p>
        </w:tc>
        <w:tc>
          <w:tcPr>
            <w:tcW w:w="2072" w:type="pct"/>
            <w:vAlign w:val="center"/>
          </w:tcPr>
          <w:p w14:paraId="5E2EFD18">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核电最大技术出力，气机全停，煤机出力系数约取0.7，抽蓄满抽水模式</w:t>
            </w:r>
          </w:p>
        </w:tc>
      </w:tr>
      <w:tr w14:paraId="638E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80" w:type="pct"/>
            <w:vAlign w:val="center"/>
          </w:tcPr>
          <w:p w14:paraId="49F3D249">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冬季最大运行方式</w:t>
            </w:r>
          </w:p>
        </w:tc>
        <w:tc>
          <w:tcPr>
            <w:tcW w:w="1553" w:type="pct"/>
            <w:vAlign w:val="center"/>
          </w:tcPr>
          <w:p w14:paraId="54A5A8EF">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冬季最大负荷日最大负荷时刻电网运行方式</w:t>
            </w:r>
          </w:p>
        </w:tc>
        <w:tc>
          <w:tcPr>
            <w:tcW w:w="694" w:type="pct"/>
            <w:vAlign w:val="center"/>
          </w:tcPr>
          <w:p w14:paraId="083C9768">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0.75</w:t>
            </w:r>
          </w:p>
        </w:tc>
        <w:tc>
          <w:tcPr>
            <w:tcW w:w="2072" w:type="pct"/>
            <w:vAlign w:val="center"/>
          </w:tcPr>
          <w:p w14:paraId="07315FD9">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核电、气电、煤电最大技术出力，抽蓄发电模式满出力</w:t>
            </w:r>
          </w:p>
        </w:tc>
      </w:tr>
      <w:tr w14:paraId="7E78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80" w:type="pct"/>
            <w:vAlign w:val="center"/>
          </w:tcPr>
          <w:p w14:paraId="12CE89D5">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冬季腰荷运行方式</w:t>
            </w:r>
          </w:p>
        </w:tc>
        <w:tc>
          <w:tcPr>
            <w:tcW w:w="1553" w:type="pct"/>
            <w:vAlign w:val="center"/>
          </w:tcPr>
          <w:p w14:paraId="42CD631D">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冬季最大负荷日气电关停时刻电网运行方式</w:t>
            </w:r>
          </w:p>
        </w:tc>
        <w:tc>
          <w:tcPr>
            <w:tcW w:w="694" w:type="pct"/>
            <w:vAlign w:val="center"/>
          </w:tcPr>
          <w:p w14:paraId="4C0C3660">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0.5</w:t>
            </w:r>
          </w:p>
        </w:tc>
        <w:tc>
          <w:tcPr>
            <w:tcW w:w="2072" w:type="pct"/>
            <w:vAlign w:val="center"/>
          </w:tcPr>
          <w:p w14:paraId="5864723C">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核电最大技术出力，气电全停，煤电最小技术出力，抽蓄全停</w:t>
            </w:r>
          </w:p>
        </w:tc>
      </w:tr>
      <w:tr w14:paraId="2B0D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680" w:type="pct"/>
            <w:vAlign w:val="center"/>
          </w:tcPr>
          <w:p w14:paraId="76B12541">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冬季最小运行方式</w:t>
            </w:r>
          </w:p>
        </w:tc>
        <w:tc>
          <w:tcPr>
            <w:tcW w:w="1553" w:type="pct"/>
            <w:vAlign w:val="center"/>
          </w:tcPr>
          <w:p w14:paraId="6DB243F0">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冬季最大负荷日最小负荷时刻电网运行方式</w:t>
            </w:r>
          </w:p>
        </w:tc>
        <w:tc>
          <w:tcPr>
            <w:tcW w:w="694" w:type="pct"/>
            <w:vAlign w:val="center"/>
          </w:tcPr>
          <w:p w14:paraId="5BAC31D8">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0.45</w:t>
            </w:r>
          </w:p>
        </w:tc>
        <w:tc>
          <w:tcPr>
            <w:tcW w:w="2072" w:type="pct"/>
            <w:vAlign w:val="center"/>
          </w:tcPr>
          <w:p w14:paraId="34F365BC">
            <w:pPr>
              <w:jc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核电最大技术出力，气机全停，煤机出力系数约取0.7，抽蓄满抽水模式</w:t>
            </w:r>
          </w:p>
        </w:tc>
      </w:tr>
    </w:tbl>
    <w:p w14:paraId="0C0F84FF">
      <w:pPr>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sz w:val="18"/>
          <w:szCs w:val="21"/>
          <w:highlight w:val="none"/>
          <w:lang w:val="en-US" w:eastAsia="zh-CN"/>
          <w14:textFill>
            <w14:solidFill>
              <w14:schemeClr w14:val="tx1"/>
            </w14:solidFill>
          </w14:textFill>
        </w:rPr>
        <w:t>注：</w:t>
      </w:r>
      <w:r>
        <w:rPr>
          <w:rFonts w:ascii="Times New Roman" w:hAnsi="Times New Roman"/>
          <w:color w:val="000000" w:themeColor="text1"/>
          <w:sz w:val="18"/>
          <w:szCs w:val="21"/>
          <w:highlight w:val="none"/>
          <w14:textFill>
            <w14:solidFill>
              <w14:schemeClr w14:val="tx1"/>
            </w14:solidFill>
          </w14:textFill>
        </w:rPr>
        <w:t>本表所列各</w:t>
      </w:r>
      <w:r>
        <w:rPr>
          <w:rFonts w:hint="eastAsia" w:ascii="Times New Roman" w:hAnsi="Times New Roman"/>
          <w:color w:val="000000" w:themeColor="text1"/>
          <w:sz w:val="18"/>
          <w:szCs w:val="21"/>
          <w:highlight w:val="none"/>
          <w14:textFill>
            <w14:solidFill>
              <w14:schemeClr w14:val="tx1"/>
            </w14:solidFill>
          </w14:textFill>
        </w:rPr>
        <w:t>典型方式</w:t>
      </w:r>
      <w:r>
        <w:rPr>
          <w:rFonts w:ascii="Times New Roman" w:hAnsi="Times New Roman"/>
          <w:color w:val="000000" w:themeColor="text1"/>
          <w:sz w:val="18"/>
          <w:szCs w:val="21"/>
          <w:highlight w:val="none"/>
          <w14:textFill>
            <w14:solidFill>
              <w14:schemeClr w14:val="tx1"/>
            </w14:solidFill>
          </w14:textFill>
        </w:rPr>
        <w:t>数据均为“十五五”规划期间的测算值，</w:t>
      </w:r>
      <w:r>
        <w:rPr>
          <w:rFonts w:hint="eastAsia" w:ascii="Times New Roman" w:hAnsi="Times New Roman"/>
          <w:color w:val="000000" w:themeColor="text1"/>
          <w:sz w:val="18"/>
          <w:szCs w:val="21"/>
          <w:highlight w:val="none"/>
          <w14:textFill>
            <w14:solidFill>
              <w14:schemeClr w14:val="tx1"/>
            </w14:solidFill>
          </w14:textFill>
        </w:rPr>
        <w:t>可</w:t>
      </w:r>
      <w:r>
        <w:rPr>
          <w:rFonts w:ascii="Times New Roman" w:hAnsi="Times New Roman"/>
          <w:color w:val="000000" w:themeColor="text1"/>
          <w:sz w:val="18"/>
          <w:szCs w:val="21"/>
          <w:highlight w:val="none"/>
          <w14:textFill>
            <w14:solidFill>
              <w14:schemeClr w14:val="tx1"/>
            </w14:solidFill>
          </w14:textFill>
        </w:rPr>
        <w:t>作为规划设计、方案比选及技术经济分析的参考依据，</w:t>
      </w:r>
      <w:r>
        <w:rPr>
          <w:rFonts w:hint="eastAsia" w:ascii="Times New Roman" w:hAnsi="Times New Roman"/>
          <w:color w:val="000000" w:themeColor="text1"/>
          <w:sz w:val="18"/>
          <w:szCs w:val="21"/>
          <w:highlight w:val="none"/>
          <w14:textFill>
            <w14:solidFill>
              <w14:schemeClr w14:val="tx1"/>
            </w14:solidFill>
          </w14:textFill>
        </w:rPr>
        <w:t>实际参数数据还应结合实际情况进行计算</w:t>
      </w:r>
      <w:r>
        <w:rPr>
          <w:rFonts w:ascii="Times New Roman" w:hAnsi="Times New Roman"/>
          <w:color w:val="000000" w:themeColor="text1"/>
          <w:sz w:val="18"/>
          <w:szCs w:val="21"/>
          <w:highlight w:val="none"/>
          <w14:textFill>
            <w14:solidFill>
              <w14:schemeClr w14:val="tx1"/>
            </w14:solidFill>
          </w14:textFill>
        </w:rPr>
        <w:t>。</w:t>
      </w:r>
    </w:p>
    <w:p w14:paraId="54D6E470">
      <w:pPr>
        <w:bidi w:val="0"/>
        <w:rPr>
          <w:rFonts w:ascii="Times New Roman" w:hAnsi="Times New Roman"/>
          <w:color w:val="000000" w:themeColor="text1"/>
          <w:highlight w:val="none"/>
          <w14:textFill>
            <w14:solidFill>
              <w14:schemeClr w14:val="tx1"/>
            </w14:solidFill>
          </w14:textFill>
        </w:rPr>
      </w:pPr>
    </w:p>
    <w:p w14:paraId="53292C07">
      <w:pPr>
        <w:rPr>
          <w:rFonts w:ascii="Times New Roman" w:hAnsi="Times New Roman"/>
          <w:color w:val="000000" w:themeColor="text1"/>
          <w:highlight w:val="none"/>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4192DD61">
      <w:pPr>
        <w:pStyle w:val="6"/>
        <w:numPr>
          <w:ilvl w:val="0"/>
          <w:numId w:val="0"/>
        </w:numPr>
        <w:tabs>
          <w:tab w:val="left" w:pos="0"/>
        </w:tabs>
        <w:ind w:leftChars="0"/>
        <w:jc w:val="center"/>
        <w:outlineLvl w:val="1"/>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pP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附录2</w:t>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br w:type="textWrapping"/>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 xml:space="preserve"> 短路电流计算参数选择推荐</w:t>
      </w:r>
    </w:p>
    <w:p w14:paraId="4F760331">
      <w:pPr>
        <w:bidi w:val="0"/>
        <w:rPr>
          <w:rFonts w:hint="eastAsia" w:ascii="Times New Roman" w:hAnsi="Times New Roman" w:eastAsia="黑体" w:cs="黑体"/>
          <w:color w:val="000000" w:themeColor="text1"/>
          <w:highlight w:val="none"/>
          <w:lang w:val="en-US" w:eastAsia="zh-CN"/>
          <w14:textFill>
            <w14:solidFill>
              <w14:schemeClr w14:val="tx1"/>
            </w14:solidFill>
          </w14:textFill>
        </w:rPr>
      </w:pPr>
      <w:r>
        <w:rPr>
          <w:rFonts w:hint="eastAsia" w:ascii="Times New Roman" w:hAnsi="Times New Roman" w:eastAsia="黑体" w:cs="黑体"/>
          <w:color w:val="000000" w:themeColor="text1"/>
          <w:highlight w:val="none"/>
          <w:lang w:val="en-US" w:eastAsia="zh-CN"/>
          <w14:textFill>
            <w14:solidFill>
              <w14:schemeClr w14:val="tx1"/>
            </w14:solidFill>
          </w14:textFill>
        </w:rPr>
        <w:t>2.1 短路电流计算参数选择推荐表</w:t>
      </w:r>
    </w:p>
    <w:tbl>
      <w:tblPr>
        <w:tblStyle w:val="15"/>
        <w:tblW w:w="4984" w:type="pct"/>
        <w:tblInd w:w="0" w:type="dxa"/>
        <w:tblLayout w:type="fixed"/>
        <w:tblCellMar>
          <w:top w:w="0" w:type="dxa"/>
          <w:left w:w="108" w:type="dxa"/>
          <w:bottom w:w="0" w:type="dxa"/>
          <w:right w:w="108" w:type="dxa"/>
        </w:tblCellMar>
      </w:tblPr>
      <w:tblGrid>
        <w:gridCol w:w="523"/>
        <w:gridCol w:w="5428"/>
        <w:gridCol w:w="4827"/>
        <w:gridCol w:w="3135"/>
      </w:tblGrid>
      <w:tr w14:paraId="4FD51A81">
        <w:tblPrEx>
          <w:tblCellMar>
            <w:top w:w="0" w:type="dxa"/>
            <w:left w:w="108" w:type="dxa"/>
            <w:bottom w:w="0" w:type="dxa"/>
            <w:right w:w="108" w:type="dxa"/>
          </w:tblCellMar>
        </w:tblPrEx>
        <w:trPr>
          <w:trHeight w:val="23" w:hRule="atLeast"/>
        </w:trPr>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A5AE">
            <w:pPr>
              <w:widowControl/>
              <w:jc w:val="center"/>
              <w:textAlignment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bidi="ar"/>
                <w14:textFill>
                  <w14:solidFill>
                    <w14:schemeClr w14:val="tx1"/>
                  </w14:solidFill>
                </w14:textFill>
              </w:rPr>
              <w:t>类别</w:t>
            </w:r>
          </w:p>
        </w:tc>
        <w:tc>
          <w:tcPr>
            <w:tcW w:w="481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C4B1">
            <w:pPr>
              <w:widowControl/>
              <w:jc w:val="center"/>
              <w:textAlignment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bidi="ar"/>
                <w14:textFill>
                  <w14:solidFill>
                    <w14:schemeClr w14:val="tx1"/>
                  </w14:solidFill>
                </w14:textFill>
              </w:rPr>
              <w:t>短路电流计算</w:t>
            </w:r>
          </w:p>
        </w:tc>
      </w:tr>
      <w:tr w14:paraId="01035B41">
        <w:tblPrEx>
          <w:tblCellMar>
            <w:top w:w="0" w:type="dxa"/>
            <w:left w:w="108" w:type="dxa"/>
            <w:bottom w:w="0" w:type="dxa"/>
            <w:right w:w="108" w:type="dxa"/>
          </w:tblCellMar>
        </w:tblPrEx>
        <w:trPr>
          <w:trHeight w:val="23" w:hRule="atLeast"/>
        </w:trPr>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2C03">
            <w:pPr>
              <w:jc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p>
        </w:tc>
        <w:tc>
          <w:tcPr>
            <w:tcW w:w="1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5A296">
            <w:pPr>
              <w:widowControl/>
              <w:jc w:val="center"/>
              <w:textAlignment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bidi="ar"/>
                <w14:textFill>
                  <w14:solidFill>
                    <w14:schemeClr w14:val="tx1"/>
                  </w14:solidFill>
                </w14:textFill>
              </w:rPr>
              <w:t>标准参数</w:t>
            </w:r>
          </w:p>
        </w:tc>
        <w:tc>
          <w:tcPr>
            <w:tcW w:w="1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89D4">
            <w:pPr>
              <w:widowControl/>
              <w:jc w:val="center"/>
              <w:textAlignment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bidi="ar"/>
                <w14:textFill>
                  <w14:solidFill>
                    <w14:schemeClr w14:val="tx1"/>
                  </w14:solidFill>
                </w14:textFill>
              </w:rPr>
              <w:t>母线短路电流交流分量计算方法及要求</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89A2E">
            <w:pPr>
              <w:widowControl/>
              <w:jc w:val="center"/>
              <w:textAlignment w:val="center"/>
              <w:rPr>
                <w:rFonts w:hint="eastAsia" w:ascii="Times New Roman" w:hAnsi="Times New Roman" w:eastAsia="黑体" w:cs="黑体"/>
                <w:b w:val="0"/>
                <w:bCs w:val="0"/>
                <w:color w:val="000000" w:themeColor="text1"/>
                <w:sz w:val="21"/>
                <w:szCs w:val="21"/>
                <w:highlight w:val="none"/>
                <w14:textFill>
                  <w14:solidFill>
                    <w14:schemeClr w14:val="tx1"/>
                  </w14:solidFill>
                </w14:textFill>
              </w:rPr>
            </w:pPr>
            <w:r>
              <w:rPr>
                <w:rFonts w:hint="eastAsia" w:ascii="Times New Roman" w:hAnsi="Times New Roman" w:eastAsia="黑体" w:cs="黑体"/>
                <w:b w:val="0"/>
                <w:bCs w:val="0"/>
                <w:color w:val="000000" w:themeColor="text1"/>
                <w:kern w:val="0"/>
                <w:sz w:val="21"/>
                <w:szCs w:val="21"/>
                <w:highlight w:val="none"/>
                <w:lang w:bidi="ar"/>
                <w14:textFill>
                  <w14:solidFill>
                    <w14:schemeClr w14:val="tx1"/>
                  </w14:solidFill>
                </w14:textFill>
              </w:rPr>
              <w:t>计及直流分量的短路电流计算方法及要求</w:t>
            </w:r>
          </w:p>
        </w:tc>
      </w:tr>
      <w:tr w14:paraId="56678AEF">
        <w:tblPrEx>
          <w:tblCellMar>
            <w:top w:w="0" w:type="dxa"/>
            <w:left w:w="108" w:type="dxa"/>
            <w:bottom w:w="0" w:type="dxa"/>
            <w:right w:w="108" w:type="dxa"/>
          </w:tblCellMar>
        </w:tblPrEx>
        <w:trPr>
          <w:trHeight w:val="23" w:hRule="atLeast"/>
        </w:trPr>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B422">
            <w:pPr>
              <w:widowControl/>
              <w:jc w:val="center"/>
              <w:textAlignment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设置原则</w:t>
            </w:r>
          </w:p>
        </w:tc>
        <w:tc>
          <w:tcPr>
            <w:tcW w:w="19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FEBDC">
            <w:pPr>
              <w:widowControl/>
              <w:jc w:val="left"/>
              <w:textAlignment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1 负荷的负序阻抗通过正序阻抗折算，折算系数取0.368+j0.174。</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2 发电机负序电抗X2取次暂态电抗。</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3 当SWI文件中未给出机组次暂态电抗参数时，采用暂态电抗参数进行折算，折算系数取0.65（凸极机和隐极机，隐极机系数b取1）。</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4 考虑柔性直流系统（包括VSC换流器和M3C换流器）以及新能源发电单元对交流系统短路电流的贡献，双馈风电机组采用受控电流源模型。</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5 当SWI文件中未给出线路零序参数时，根据线路正序导纳进行折算，线路零序电导、零序电纳以及零序1/2并联电纳的折算系数分别取0.8、0.313、0.68。</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6 如需研究计算标准对计算结果的影响，可在标准参数的基础上自行调整。</w:t>
            </w:r>
          </w:p>
        </w:tc>
        <w:tc>
          <w:tcPr>
            <w:tcW w:w="17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CA985">
            <w:pPr>
              <w:widowControl/>
              <w:jc w:val="left"/>
              <w:textAlignment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1 母线短路电流交流分量计算时，故障点额定电压的倍乘系数取1.08。</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2 母线短路电流交流分量计算时，静态负荷与马达负荷均处理为等值阻抗模型，正序网络中考虑并联无功补偿装置（包含换流母线无功补偿、普通容性无功补偿、普通感性无功补偿）以及线路充电功率。</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3 母线短路电流交流分量计算时，不考虑线路和变压器的电阻（仅考虑电抗），不考虑DAT文件中出力为0的发电机提供的短路电流，不使用变压器标准变比进行计算，串补不进行旁路处理。</w:t>
            </w:r>
          </w:p>
        </w:tc>
        <w:tc>
          <w:tcPr>
            <w:tcW w:w="11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54070">
            <w:pPr>
              <w:widowControl/>
              <w:jc w:val="left"/>
              <w:textAlignment w:val="center"/>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1 应用GB/T15544.1-2013标准进行短路电流直流分量衰减时间常数计算，其中：故障点等效电压源按1.1倍额定电压计算；除了零序系统外，忽略所有线路电容、并联导纳、非旋转型负载；使用变压器标准变比进行计算。</w:t>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br w:type="textWrapping"/>
            </w:r>
            <w:r>
              <w:rPr>
                <w:rFonts w:hint="eastAsia" w:ascii="Times New Roman" w:hAnsi="Times New Roman" w:eastAsia="宋体" w:cs="宋体"/>
                <w:color w:val="000000" w:themeColor="text1"/>
                <w:kern w:val="0"/>
                <w:sz w:val="18"/>
                <w:szCs w:val="18"/>
                <w:highlight w:val="none"/>
                <w:lang w:bidi="ar"/>
                <w14:textFill>
                  <w14:solidFill>
                    <w14:schemeClr w14:val="tx1"/>
                  </w14:solidFill>
                </w14:textFill>
              </w:rPr>
              <w:t>2 母线短路电流直流分量计算时，考虑线路和变压器的电阻与电抗，考虑DAT文件中出力为0的发电机提供的短路电流，串补进行旁路处理，不考虑马达负荷的影响。</w:t>
            </w:r>
          </w:p>
        </w:tc>
      </w:tr>
    </w:tbl>
    <w:p w14:paraId="38278A86">
      <w:pPr>
        <w:tabs>
          <w:tab w:val="left" w:pos="0"/>
        </w:tabs>
        <w:jc w:val="center"/>
        <w:rPr>
          <w:rFonts w:hint="eastAsia" w:ascii="Times New Roman" w:hAnsi="Times New Roman" w:eastAsia="宋体" w:cs="宋体"/>
          <w:color w:val="000000" w:themeColor="text1"/>
          <w:sz w:val="28"/>
          <w:szCs w:val="28"/>
          <w:highlight w:val="none"/>
          <w14:textFill>
            <w14:solidFill>
              <w14:schemeClr w14:val="tx1"/>
            </w14:solidFill>
          </w14:textFill>
        </w:rPr>
        <w:sectPr>
          <w:pgSz w:w="16838" w:h="11906" w:orient="landscape"/>
          <w:pgMar w:top="1800" w:right="1440" w:bottom="1800" w:left="1440" w:header="851" w:footer="992" w:gutter="0"/>
          <w:pgNumType w:fmt="decimal"/>
          <w:cols w:space="425" w:num="1"/>
          <w:docGrid w:type="lines" w:linePitch="312" w:charSpace="0"/>
        </w:sectPr>
      </w:pPr>
    </w:p>
    <w:p w14:paraId="0A496BC6">
      <w:pPr>
        <w:bidi w:val="0"/>
        <w:rPr>
          <w:rFonts w:hint="eastAsia" w:ascii="Times New Roman" w:hAnsi="Times New Roman" w:eastAsia="黑体" w:cs="黑体"/>
          <w:color w:val="000000" w:themeColor="text1"/>
          <w:highlight w:val="none"/>
          <w:lang w:val="en-US" w:eastAsia="zh-CN"/>
          <w14:textFill>
            <w14:solidFill>
              <w14:schemeClr w14:val="tx1"/>
            </w14:solidFill>
          </w14:textFill>
        </w:rPr>
      </w:pPr>
      <w:r>
        <w:rPr>
          <w:rFonts w:hint="eastAsia" w:ascii="Times New Roman" w:hAnsi="Times New Roman" w:eastAsia="黑体" w:cs="黑体"/>
          <w:color w:val="000000" w:themeColor="text1"/>
          <w:highlight w:val="none"/>
          <w:lang w:val="en-US" w:eastAsia="zh-CN"/>
          <w14:textFill>
            <w14:solidFill>
              <w14:schemeClr w14:val="tx1"/>
            </w14:solidFill>
          </w14:textFill>
        </w:rPr>
        <w:t>2.2 短路电流计算设置界面参考图</w:t>
      </w:r>
    </w:p>
    <w:p w14:paraId="59B27F44">
      <w:pPr>
        <w:tabs>
          <w:tab w:val="left" w:pos="0"/>
        </w:tabs>
        <w:jc w:val="center"/>
        <w:rPr>
          <w:rFonts w:hint="eastAsia" w:ascii="Times New Roman" w:hAnsi="Times New Roman" w:eastAsia="宋体" w:cs="宋体"/>
          <w:color w:val="000000" w:themeColor="text1"/>
          <w:sz w:val="28"/>
          <w:szCs w:val="28"/>
          <w:highlight w:val="none"/>
          <w:lang w:eastAsia="zh-CN"/>
          <w14:textFill>
            <w14:solidFill>
              <w14:schemeClr w14:val="tx1"/>
            </w14:solidFill>
          </w14:textFill>
        </w:rPr>
      </w:pPr>
      <w:r>
        <w:rPr>
          <w:rFonts w:hint="eastAsia" w:ascii="Times New Roman" w:hAnsi="Times New Roman" w:eastAsia="宋体" w:cs="宋体"/>
          <w:color w:val="000000" w:themeColor="text1"/>
          <w:kern w:val="0"/>
          <w:sz w:val="18"/>
          <w:szCs w:val="18"/>
          <w:highlight w:val="none"/>
          <w14:textFill>
            <w14:solidFill>
              <w14:schemeClr w14:val="tx1"/>
            </w14:solidFill>
          </w14:textFill>
        </w:rPr>
        <w:drawing>
          <wp:inline distT="0" distB="0" distL="114300" distR="114300">
            <wp:extent cx="4241165" cy="3270885"/>
            <wp:effectExtent l="0" t="0" r="6985" b="5715"/>
            <wp:docPr id="1" name="图片 1" descr="4a9c2558e671994c0884ffd56020da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a9c2558e671994c0884ffd56020da4b"/>
                    <pic:cNvPicPr>
                      <a:picLocks noChangeAspect="1"/>
                    </pic:cNvPicPr>
                  </pic:nvPicPr>
                  <pic:blipFill>
                    <a:blip r:embed="rId10"/>
                    <a:stretch>
                      <a:fillRect/>
                    </a:stretch>
                  </pic:blipFill>
                  <pic:spPr>
                    <a:xfrm>
                      <a:off x="0" y="0"/>
                      <a:ext cx="4241165" cy="3270885"/>
                    </a:xfrm>
                    <a:prstGeom prst="rect">
                      <a:avLst/>
                    </a:prstGeom>
                  </pic:spPr>
                </pic:pic>
              </a:graphicData>
            </a:graphic>
          </wp:inline>
        </w:drawing>
      </w:r>
      <w:r>
        <w:rPr>
          <w:rFonts w:hint="eastAsia" w:ascii="Times New Roman" w:hAnsi="Times New Roman" w:eastAsia="宋体" w:cs="宋体"/>
          <w:color w:val="000000" w:themeColor="text1"/>
          <w:sz w:val="28"/>
          <w:szCs w:val="28"/>
          <w:highlight w:val="none"/>
          <w:lang w:eastAsia="zh-CN"/>
          <w14:textFill>
            <w14:solidFill>
              <w14:schemeClr w14:val="tx1"/>
            </w14:solidFill>
          </w14:textFill>
        </w:rPr>
        <w:drawing>
          <wp:inline distT="0" distB="0" distL="114300" distR="114300">
            <wp:extent cx="4245610" cy="3260090"/>
            <wp:effectExtent l="0" t="0" r="2540" b="16510"/>
            <wp:docPr id="2" name="图片 2" descr="36e834a6b7d84e12315b21fa16a95a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e834a6b7d84e12315b21fa16a95a79"/>
                    <pic:cNvPicPr>
                      <a:picLocks noChangeAspect="1"/>
                    </pic:cNvPicPr>
                  </pic:nvPicPr>
                  <pic:blipFill>
                    <a:blip r:embed="rId11"/>
                    <a:stretch>
                      <a:fillRect/>
                    </a:stretch>
                  </pic:blipFill>
                  <pic:spPr>
                    <a:xfrm>
                      <a:off x="0" y="0"/>
                      <a:ext cx="4245610" cy="3260090"/>
                    </a:xfrm>
                    <a:prstGeom prst="rect">
                      <a:avLst/>
                    </a:prstGeom>
                  </pic:spPr>
                </pic:pic>
              </a:graphicData>
            </a:graphic>
          </wp:inline>
        </w:drawing>
      </w:r>
    </w:p>
    <w:p w14:paraId="2603574C">
      <w:pPr>
        <w:tabs>
          <w:tab w:val="left" w:pos="0"/>
        </w:tabs>
        <w:jc w:val="left"/>
        <w:rPr>
          <w:rFonts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 xml:space="preserve">              （1）母线短路电流交流分量计算软件设置界面               </w:t>
      </w:r>
      <w:r>
        <w:rPr>
          <w:rFonts w:hint="eastAsia" w:ascii="Times New Roman" w:hAnsi="Times New Roman" w:eastAsia="宋体" w:cs="宋体"/>
          <w:color w:val="000000" w:themeColor="text1"/>
          <w:sz w:val="18"/>
          <w:szCs w:val="18"/>
          <w:highlight w:val="none"/>
          <w:lang w:val="en-US" w:eastAsia="zh-CN"/>
          <w14:textFill>
            <w14:solidFill>
              <w14:schemeClr w14:val="tx1"/>
            </w14:solidFill>
          </w14:textFill>
        </w:rPr>
        <w:t xml:space="preserve">      </w:t>
      </w:r>
      <w:r>
        <w:rPr>
          <w:rFonts w:hint="eastAsia" w:ascii="Times New Roman" w:hAnsi="Times New Roman" w:eastAsia="宋体" w:cs="宋体"/>
          <w:color w:val="000000" w:themeColor="text1"/>
          <w:sz w:val="18"/>
          <w:szCs w:val="18"/>
          <w:highlight w:val="none"/>
          <w14:textFill>
            <w14:solidFill>
              <w14:schemeClr w14:val="tx1"/>
            </w14:solidFill>
          </w14:textFill>
        </w:rPr>
        <w:t xml:space="preserve">          （2） 短路电流直流分量计算软件设置界面</w:t>
      </w:r>
    </w:p>
    <w:p w14:paraId="730F0808">
      <w:pPr>
        <w:tabs>
          <w:tab w:val="left" w:pos="0"/>
        </w:tabs>
        <w:jc w:val="center"/>
        <w:rPr>
          <w:rFonts w:ascii="Times New Roman" w:hAnsi="Times New Roman" w:eastAsia="宋体" w:cs="宋体"/>
          <w:color w:val="000000" w:themeColor="text1"/>
          <w:sz w:val="28"/>
          <w:szCs w:val="28"/>
          <w:highlight w:val="none"/>
          <w14:textFill>
            <w14:solidFill>
              <w14:schemeClr w14:val="tx1"/>
            </w14:solidFill>
          </w14:textFill>
        </w:rPr>
      </w:pPr>
    </w:p>
    <w:p w14:paraId="1894C6D2">
      <w:pPr>
        <w:tabs>
          <w:tab w:val="left" w:pos="0"/>
        </w:tabs>
        <w:jc w:val="left"/>
        <w:rPr>
          <w:rFonts w:ascii="Times New Roman" w:hAnsi="Times New Roman" w:eastAsia="宋体" w:cs="宋体"/>
          <w:color w:val="000000" w:themeColor="text1"/>
          <w:sz w:val="28"/>
          <w:szCs w:val="28"/>
          <w:highlight w:val="none"/>
          <w14:textFill>
            <w14:solidFill>
              <w14:schemeClr w14:val="tx1"/>
            </w14:solidFill>
          </w14:textFill>
        </w:rPr>
        <w:sectPr>
          <w:pgSz w:w="16838" w:h="11906" w:orient="landscape"/>
          <w:pgMar w:top="1800" w:right="1440" w:bottom="1800" w:left="1440" w:header="851" w:footer="992" w:gutter="0"/>
          <w:pgNumType w:fmt="decimal"/>
          <w:cols w:space="425" w:num="1"/>
          <w:docGrid w:type="lines" w:linePitch="312" w:charSpace="0"/>
        </w:sectPr>
      </w:pPr>
    </w:p>
    <w:p w14:paraId="66151B4A">
      <w:pPr>
        <w:pStyle w:val="6"/>
        <w:numPr>
          <w:ilvl w:val="0"/>
          <w:numId w:val="0"/>
        </w:numPr>
        <w:tabs>
          <w:tab w:val="left" w:pos="0"/>
        </w:tabs>
        <w:ind w:leftChars="0"/>
        <w:jc w:val="center"/>
        <w:outlineLvl w:val="1"/>
        <w:rPr>
          <w:rFonts w:hint="default" w:ascii="Times New Roman" w:hAnsi="Times New Roman" w:eastAsia="黑体" w:cs="黑体"/>
          <w:color w:val="000000" w:themeColor="text1"/>
          <w:sz w:val="21"/>
          <w:szCs w:val="21"/>
          <w:highlight w:val="none"/>
          <w:lang w:val="en-US" w:eastAsia="zh-CN"/>
          <w14:textFill>
            <w14:solidFill>
              <w14:schemeClr w14:val="tx1"/>
            </w14:solidFill>
          </w14:textFill>
        </w:rPr>
      </w:pP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 xml:space="preserve">附件3 </w:t>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br w:type="textWrapping"/>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稳定计算故障模拟参考设置表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4"/>
        <w:gridCol w:w="4569"/>
        <w:gridCol w:w="1553"/>
      </w:tblGrid>
      <w:tr w14:paraId="3E32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B799AAB">
            <w:pPr>
              <w:numPr>
                <w:ilvl w:val="-1"/>
                <w:numId w:val="0"/>
              </w:numPr>
              <w:tabs>
                <w:tab w:val="left" w:pos="0"/>
              </w:tabs>
              <w:spacing w:line="360" w:lineRule="auto"/>
              <w:jc w:val="center"/>
              <w:rPr>
                <w:rFonts w:hint="eastAsia" w:ascii="Times New Roman" w:hAnsi="Times New Roman" w:eastAsia="黑体" w:cs="黑体"/>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黑体" w:cs="黑体"/>
                <w:color w:val="000000" w:themeColor="text1"/>
                <w:sz w:val="21"/>
                <w:szCs w:val="21"/>
                <w:highlight w:val="none"/>
                <w:vertAlign w:val="baseline"/>
                <w:lang w:val="en-US" w:eastAsia="zh-CN"/>
                <w14:textFill>
                  <w14:solidFill>
                    <w14:schemeClr w14:val="tx1"/>
                  </w14:solidFill>
                </w14:textFill>
              </w:rPr>
              <w:t>故障点选择</w:t>
            </w:r>
          </w:p>
        </w:tc>
        <w:tc>
          <w:tcPr>
            <w:tcW w:w="4708" w:type="dxa"/>
            <w:vAlign w:val="center"/>
          </w:tcPr>
          <w:p w14:paraId="35D8F1BF">
            <w:pPr>
              <w:numPr>
                <w:ilvl w:val="-1"/>
                <w:numId w:val="0"/>
              </w:numPr>
              <w:tabs>
                <w:tab w:val="left" w:pos="0"/>
              </w:tabs>
              <w:spacing w:line="360" w:lineRule="auto"/>
              <w:jc w:val="center"/>
              <w:rPr>
                <w:rFonts w:hint="eastAsia" w:ascii="Times New Roman" w:hAnsi="Times New Roman" w:eastAsia="黑体" w:cs="黑体"/>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黑体" w:cs="黑体"/>
                <w:color w:val="000000" w:themeColor="text1"/>
                <w:sz w:val="21"/>
                <w:szCs w:val="21"/>
                <w:highlight w:val="none"/>
                <w14:textFill>
                  <w14:solidFill>
                    <w14:schemeClr w14:val="tx1"/>
                  </w14:solidFill>
                </w14:textFill>
              </w:rPr>
              <w:t>故障切除时间</w:t>
            </w:r>
          </w:p>
        </w:tc>
        <w:tc>
          <w:tcPr>
            <w:tcW w:w="1581" w:type="dxa"/>
            <w:vAlign w:val="center"/>
          </w:tcPr>
          <w:p w14:paraId="39C59C32">
            <w:pPr>
              <w:numPr>
                <w:ilvl w:val="-1"/>
                <w:numId w:val="0"/>
              </w:numPr>
              <w:tabs>
                <w:tab w:val="left" w:pos="0"/>
              </w:tabs>
              <w:spacing w:line="360" w:lineRule="auto"/>
              <w:jc w:val="center"/>
              <w:rPr>
                <w:rFonts w:hint="eastAsia" w:ascii="Times New Roman" w:hAnsi="Times New Roman" w:eastAsia="黑体" w:cs="黑体"/>
                <w:color w:val="000000" w:themeColor="text1"/>
                <w:sz w:val="21"/>
                <w:szCs w:val="21"/>
                <w:highlight w:val="none"/>
                <w:vertAlign w:val="baseline"/>
                <w:lang w:eastAsia="zh-CN"/>
                <w14:textFill>
                  <w14:solidFill>
                    <w14:schemeClr w14:val="tx1"/>
                  </w14:solidFill>
                </w14:textFill>
              </w:rPr>
            </w:pPr>
            <w:r>
              <w:rPr>
                <w:rFonts w:hint="eastAsia" w:ascii="Times New Roman" w:hAnsi="Times New Roman" w:eastAsia="黑体" w:cs="黑体"/>
                <w:color w:val="000000" w:themeColor="text1"/>
                <w:sz w:val="21"/>
                <w:szCs w:val="21"/>
                <w:highlight w:val="none"/>
                <w14:textFill>
                  <w14:solidFill>
                    <w14:schemeClr w14:val="tx1"/>
                  </w14:solidFill>
                </w14:textFill>
              </w:rPr>
              <w:t>模拟时间</w:t>
            </w:r>
          </w:p>
        </w:tc>
      </w:tr>
      <w:tr w14:paraId="5BAB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9D4C76">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 线路故障一般设在线路两侧变压器出口。</w:t>
            </w:r>
          </w:p>
          <w:p w14:paraId="3BAF0795">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2 变压器故障一般设在高压侧或中压侧出口。</w:t>
            </w:r>
          </w:p>
          <w:p w14:paraId="6DE74288">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 发电机出口故障一般设在升压变高压侧出口。</w:t>
            </w:r>
          </w:p>
          <w:p w14:paraId="15937BC6">
            <w:pPr>
              <w:keepNext w:val="0"/>
              <w:keepLines w:val="0"/>
              <w:pageBreakBefore w:val="0"/>
              <w:widowControl w:val="0"/>
              <w:numPr>
                <w:ilvl w:val="-1"/>
                <w:numId w:val="0"/>
              </w:numPr>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vertAlign w:val="baseline"/>
                <w:lang w:eastAsia="zh-CN"/>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4 一台半断路器接线开关失灵故障一般设在中开关。</w:t>
            </w:r>
          </w:p>
        </w:tc>
        <w:tc>
          <w:tcPr>
            <w:tcW w:w="4708" w:type="dxa"/>
            <w:vAlign w:val="center"/>
          </w:tcPr>
          <w:p w14:paraId="620D7F5F">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 线路故障切除时间：220kV线路双侧可采用0.12s；500kV及以上电压等级线路近故障点可采用0.09s，远故障点可采用0.1s。</w:t>
            </w:r>
          </w:p>
          <w:p w14:paraId="322F9FFB">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2 母线故障切除时间，可按同电压等级线路近端故障切除时间考虑。</w:t>
            </w:r>
          </w:p>
          <w:p w14:paraId="04FE9EE7">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 变压器故障切除时间，可按高压侧同电压等级线路近端故障切除时间考虑。</w:t>
            </w:r>
          </w:p>
          <w:p w14:paraId="0B43FFA2">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lang w:eastAsia="zh-CN"/>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4 单相短路单相中开关拒动考虑故障后5周波（0.1秒）发生支路跳闸及开关拒动；故障后17.5周波（0.35秒）开关失灵保护动作切除该支路及相关元件；含串补线路在两端节点上分别设置三相短路故障，不在串补K节点上设置故障。</w:t>
            </w:r>
          </w:p>
        </w:tc>
        <w:tc>
          <w:tcPr>
            <w:tcW w:w="1581" w:type="dxa"/>
            <w:vAlign w:val="center"/>
          </w:tcPr>
          <w:p w14:paraId="7C3E2E6D">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lang w:eastAsia="zh-CN"/>
                <w14:textFill>
                  <w14:solidFill>
                    <w14:schemeClr w14:val="tx1"/>
                  </w14:solidFill>
                </w14:textFill>
              </w:rPr>
            </w:pPr>
            <w:r>
              <w:rPr>
                <w:rFonts w:hint="eastAsia" w:ascii="Times New Roman" w:hAnsi="Times New Roman" w:eastAsia="宋体" w:cs="宋体"/>
                <w:color w:val="000000" w:themeColor="text1"/>
                <w:sz w:val="18"/>
                <w:szCs w:val="18"/>
                <w:highlight w:val="none"/>
                <w:lang w:val="en-US" w:eastAsia="zh-CN"/>
                <w14:textFill>
                  <w14:solidFill>
                    <w14:schemeClr w14:val="tx1"/>
                  </w14:solidFill>
                </w14:textFill>
              </w:rPr>
              <w:t xml:space="preserve">1 </w:t>
            </w:r>
            <w:r>
              <w:rPr>
                <w:rFonts w:hint="eastAsia" w:ascii="Times New Roman" w:hAnsi="Times New Roman" w:eastAsia="宋体" w:cs="宋体"/>
                <w:color w:val="000000" w:themeColor="text1"/>
                <w:sz w:val="18"/>
                <w:szCs w:val="18"/>
                <w:highlight w:val="none"/>
                <w:lang w:eastAsia="zh-CN"/>
                <w14:textFill>
                  <w14:solidFill>
                    <w14:schemeClr w14:val="tx1"/>
                  </w14:solidFill>
                </w14:textFill>
              </w:rPr>
              <w:t>暂态稳定计算模拟时间宜取5s～6s；</w:t>
            </w:r>
          </w:p>
          <w:p w14:paraId="32436DFB">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lang w:eastAsia="zh-CN"/>
                <w14:textFill>
                  <w14:solidFill>
                    <w14:schemeClr w14:val="tx1"/>
                  </w14:solidFill>
                </w14:textFill>
              </w:rPr>
            </w:pPr>
            <w:r>
              <w:rPr>
                <w:rFonts w:hint="eastAsia" w:ascii="Times New Roman" w:hAnsi="Times New Roman" w:eastAsia="宋体" w:cs="宋体"/>
                <w:color w:val="000000" w:themeColor="text1"/>
                <w:sz w:val="18"/>
                <w:szCs w:val="18"/>
                <w:highlight w:val="none"/>
                <w:lang w:val="en-US" w:eastAsia="zh-CN"/>
                <w14:textFill>
                  <w14:solidFill>
                    <w14:schemeClr w14:val="tx1"/>
                  </w14:solidFill>
                </w14:textFill>
              </w:rPr>
              <w:t xml:space="preserve">2 </w:t>
            </w:r>
            <w:r>
              <w:rPr>
                <w:rFonts w:hint="eastAsia" w:ascii="Times New Roman" w:hAnsi="Times New Roman" w:eastAsia="宋体" w:cs="宋体"/>
                <w:color w:val="000000" w:themeColor="text1"/>
                <w:sz w:val="18"/>
                <w:szCs w:val="18"/>
                <w:highlight w:val="none"/>
                <w:lang w:eastAsia="zh-CN"/>
                <w14:textFill>
                  <w14:solidFill>
                    <w14:schemeClr w14:val="tx1"/>
                  </w14:solidFill>
                </w14:textFill>
              </w:rPr>
              <w:t>大扰动动态稳定计算模拟时间应达到10个～15个振荡周期。</w:t>
            </w:r>
          </w:p>
          <w:p w14:paraId="42AE7D70">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000000" w:themeColor="text1"/>
                <w:sz w:val="18"/>
                <w:szCs w:val="18"/>
                <w:highlight w:val="none"/>
                <w:lang w:eastAsia="zh-CN"/>
                <w14:textFill>
                  <w14:solidFill>
                    <w14:schemeClr w14:val="tx1"/>
                  </w14:solidFill>
                </w14:textFill>
              </w:rPr>
            </w:pPr>
            <w:r>
              <w:rPr>
                <w:rFonts w:hint="eastAsia" w:ascii="Times New Roman" w:hAnsi="Times New Roman" w:eastAsia="宋体" w:cs="宋体"/>
                <w:color w:val="000000" w:themeColor="text1"/>
                <w:sz w:val="18"/>
                <w:szCs w:val="18"/>
                <w:highlight w:val="none"/>
                <w:lang w:val="en-US" w:eastAsia="zh-CN"/>
                <w14:textFill>
                  <w14:solidFill>
                    <w14:schemeClr w14:val="tx1"/>
                  </w14:solidFill>
                </w14:textFill>
              </w:rPr>
              <w:t xml:space="preserve">3 </w:t>
            </w:r>
            <w:r>
              <w:rPr>
                <w:rFonts w:hint="eastAsia" w:ascii="Times New Roman" w:hAnsi="Times New Roman" w:eastAsia="宋体" w:cs="宋体"/>
                <w:color w:val="000000" w:themeColor="text1"/>
                <w:sz w:val="18"/>
                <w:szCs w:val="18"/>
                <w:highlight w:val="none"/>
                <w:lang w:eastAsia="zh-CN"/>
                <w14:textFill>
                  <w14:solidFill>
                    <w14:schemeClr w14:val="tx1"/>
                  </w14:solidFill>
                </w14:textFill>
              </w:rPr>
              <w:t>计算步长视敏感度可取0.01s～0.02s。</w:t>
            </w:r>
          </w:p>
        </w:tc>
      </w:tr>
    </w:tbl>
    <w:p w14:paraId="28E132DC">
      <w:pPr>
        <w:ind w:firstLine="420" w:firstLineChars="200"/>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pPr>
    </w:p>
    <w:p w14:paraId="4F2053C4">
      <w:pPr>
        <w:pStyle w:val="6"/>
        <w:numPr>
          <w:ilvl w:val="0"/>
          <w:numId w:val="0"/>
        </w:numPr>
        <w:tabs>
          <w:tab w:val="left" w:pos="0"/>
        </w:tabs>
        <w:ind w:leftChars="0"/>
        <w:jc w:val="center"/>
        <w:outlineLvl w:val="1"/>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pP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 xml:space="preserve">附件4 </w:t>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br w:type="textWrapping"/>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调相调压计算实例分析</w:t>
      </w:r>
    </w:p>
    <w:p w14:paraId="41B0A3E3">
      <w:pPr>
        <w:tabs>
          <w:tab w:val="left" w:pos="0"/>
        </w:tabs>
        <w:spacing w:line="360" w:lineRule="auto"/>
        <w:jc w:val="left"/>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14:textFill>
            <w14:solidFill>
              <w14:schemeClr w14:val="tx1"/>
            </w14:solidFill>
          </w14:textFill>
        </w:rPr>
        <w:t>（1）</w:t>
      </w:r>
      <w:r>
        <w:rPr>
          <w:rFonts w:ascii="Times New Roman" w:hAnsi="Times New Roman" w:cs="Times New Roman"/>
          <w:color w:val="000000" w:themeColor="text1"/>
          <w:sz w:val="21"/>
          <w:szCs w:val="21"/>
          <w:highlight w:val="none"/>
          <w14:textFill>
            <w14:solidFill>
              <w14:schemeClr w14:val="tx1"/>
            </w14:solidFill>
          </w14:textFill>
        </w:rPr>
        <w:t>计算基础条件</w:t>
      </w:r>
    </w:p>
    <w:p w14:paraId="22FB9C4B">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1）采用中国电力科学研究院BPA程序进行计算研究。</w:t>
      </w:r>
    </w:p>
    <w:p w14:paraId="792532D7">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 xml:space="preserve">2）选取计算水平年； </w:t>
      </w:r>
    </w:p>
    <w:p w14:paraId="0F9A4BA7">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3）计算网络及运行方式：计算网络采用输电网规划所推荐的网络方案，根据南方电网负荷大小方式特点，以及西电东送潮流不同，计算方式选取</w:t>
      </w:r>
      <w:r>
        <w:rPr>
          <w:rFonts w:hint="eastAsia" w:ascii="Times New Roman" w:hAnsi="Times New Roman" w:cs="Times New Roman"/>
          <w:color w:val="000000" w:themeColor="text1"/>
          <w:sz w:val="21"/>
          <w:szCs w:val="21"/>
          <w:highlight w:val="none"/>
          <w14:textFill>
            <w14:solidFill>
              <w14:schemeClr w14:val="tx1"/>
            </w14:solidFill>
          </w14:textFill>
        </w:rPr>
        <w:t>夏季</w:t>
      </w:r>
      <w:r>
        <w:rPr>
          <w:rFonts w:hint="eastAsia" w:ascii="Times New Roman" w:hAnsi="Times New Roman" w:eastAsia="宋体" w:cs="宋体"/>
          <w:color w:val="000000" w:themeColor="text1"/>
          <w:sz w:val="21"/>
          <w:szCs w:val="21"/>
          <w:highlight w:val="none"/>
          <w14:textFill>
            <w14:solidFill>
              <w14:schemeClr w14:val="tx1"/>
            </w14:solidFill>
          </w14:textFill>
        </w:rPr>
        <w:t>高峰负荷（夏大方式）</w:t>
      </w:r>
      <w:r>
        <w:rPr>
          <w:rFonts w:ascii="Times New Roman" w:hAnsi="Times New Roman" w:cs="Times New Roman"/>
          <w:color w:val="000000" w:themeColor="text1"/>
          <w:sz w:val="21"/>
          <w:szCs w:val="21"/>
          <w:highlight w:val="none"/>
          <w14:textFill>
            <w14:solidFill>
              <w14:schemeClr w14:val="tx1"/>
            </w14:solidFill>
          </w14:textFill>
        </w:rPr>
        <w:t>、</w:t>
      </w:r>
      <w:r>
        <w:rPr>
          <w:rFonts w:hint="eastAsia" w:ascii="Times New Roman" w:hAnsi="Times New Roman" w:cs="Times New Roman"/>
          <w:color w:val="000000" w:themeColor="text1"/>
          <w:sz w:val="21"/>
          <w:szCs w:val="21"/>
          <w:highlight w:val="none"/>
          <w14:textFill>
            <w14:solidFill>
              <w14:schemeClr w14:val="tx1"/>
            </w14:solidFill>
          </w14:textFill>
        </w:rPr>
        <w:t>夏季</w:t>
      </w:r>
      <w:r>
        <w:rPr>
          <w:rFonts w:hint="eastAsia" w:ascii="Times New Roman" w:hAnsi="Times New Roman" w:eastAsia="宋体" w:cs="宋体"/>
          <w:color w:val="000000" w:themeColor="text1"/>
          <w:sz w:val="21"/>
          <w:szCs w:val="21"/>
          <w:highlight w:val="none"/>
          <w14:textFill>
            <w14:solidFill>
              <w14:schemeClr w14:val="tx1"/>
            </w14:solidFill>
          </w14:textFill>
        </w:rPr>
        <w:t>低谷负荷（夏小方式）</w:t>
      </w:r>
      <w:r>
        <w:rPr>
          <w:rFonts w:ascii="Times New Roman" w:hAnsi="Times New Roman" w:cs="Times New Roman"/>
          <w:color w:val="000000" w:themeColor="text1"/>
          <w:sz w:val="21"/>
          <w:szCs w:val="21"/>
          <w:highlight w:val="none"/>
          <w14:textFill>
            <w14:solidFill>
              <w14:schemeClr w14:val="tx1"/>
            </w14:solidFill>
          </w14:textFill>
        </w:rPr>
        <w:t>2种典型运行方式。</w:t>
      </w:r>
    </w:p>
    <w:p w14:paraId="7D0BB011">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4）明确计算负荷及负荷功率因数：计算负荷模拟到220kV母线，考虑测算电网的特点，各变电所220kV母线上负荷功率因数一般为0.90～0.95。</w:t>
      </w:r>
    </w:p>
    <w:p w14:paraId="60A14CEF">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 xml:space="preserve">5）明确发电机功率因数：发电机功率因数一般按照如下原则控制：位于负荷中心的火电机组取0.85～0.95；远离负荷中心的火电机组取0.9～0.95；水电机组一般取0.9～1.0；电网中有进相能力的水、火电机组，在电网无功调节手段不足时，适当考虑浅度进相运行。    </w:t>
      </w:r>
    </w:p>
    <w:p w14:paraId="3D3F7BAC">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6）《电力系统设计技术规程》第7.2.2条规定：应在无功平衡的基础上选择调压装置，满足本规程电压质量标准。</w:t>
      </w:r>
    </w:p>
    <w:p w14:paraId="1BF51033">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经调相调压计算，在系统各种运行方式下变电站母线的运行电压不符合电压质量标准时，应研究增加无功补偿设备满足电压质量标准，在增加无功补偿设备无效果或不经济时，可选用有载调压变压器，除上述情况外不宜采用有载调压变压器。</w:t>
      </w:r>
    </w:p>
    <w:p w14:paraId="0594139E">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选择变压器的额定抽头及分抽头时，应考虑系统远景发展潮流变化的需要。</w:t>
      </w:r>
    </w:p>
    <w:p w14:paraId="4FA1EFB2">
      <w:pPr>
        <w:spacing w:line="360" w:lineRule="auto"/>
        <w:rPr>
          <w:rFonts w:hint="eastAsia" w:ascii="Times New Roman" w:hAnsi="Times New Roman" w:cs="Times New Roman" w:eastAsiaTheme="minorEastAsia"/>
          <w:color w:val="000000" w:themeColor="text1"/>
          <w:kern w:val="0"/>
          <w:sz w:val="21"/>
          <w:szCs w:val="21"/>
          <w:highlight w:val="none"/>
          <w:lang w:eastAsia="zh-CN"/>
          <w14:textFill>
            <w14:solidFill>
              <w14:schemeClr w14:val="tx1"/>
            </w14:solidFill>
          </w14:textFill>
        </w:rPr>
      </w:pPr>
    </w:p>
    <w:p w14:paraId="30CE02C3">
      <w:pPr>
        <w:tabs>
          <w:tab w:val="left" w:pos="0"/>
        </w:tabs>
        <w:spacing w:line="360" w:lineRule="auto"/>
        <w:jc w:val="left"/>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14:textFill>
            <w14:solidFill>
              <w14:schemeClr w14:val="tx1"/>
            </w14:solidFill>
          </w14:textFill>
        </w:rPr>
        <w:t>（2）</w:t>
      </w:r>
      <w:r>
        <w:rPr>
          <w:rFonts w:ascii="Times New Roman" w:hAnsi="Times New Roman" w:cs="Times New Roman"/>
          <w:color w:val="000000" w:themeColor="text1"/>
          <w:sz w:val="21"/>
          <w:szCs w:val="21"/>
          <w:highlight w:val="none"/>
          <w14:textFill>
            <w14:solidFill>
              <w14:schemeClr w14:val="tx1"/>
            </w14:solidFill>
          </w14:textFill>
        </w:rPr>
        <w:t>分析</w:t>
      </w:r>
      <w:r>
        <w:rPr>
          <w:rFonts w:hint="eastAsia" w:ascii="Times New Roman" w:hAnsi="Times New Roman" w:cs="Times New Roman"/>
          <w:color w:val="000000" w:themeColor="text1"/>
          <w:sz w:val="21"/>
          <w:szCs w:val="21"/>
          <w:highlight w:val="none"/>
          <w14:textFill>
            <w14:solidFill>
              <w14:schemeClr w14:val="tx1"/>
            </w14:solidFill>
          </w14:textFill>
        </w:rPr>
        <w:t>实例</w:t>
      </w:r>
    </w:p>
    <w:p w14:paraId="17B7881D">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根据《南方电网风电场接入电网技术规范》，“风电场变电站的主变压器宜采用有载调压变压器，通过主变压器分接头调节风电场内电压，确保场内风电机组正常运行”。本项目青洲六海上已采用有载调压变压器，陆上采用无载调压变压器，高中额定电压参数为525±4×1.25%/345kV，中性点直接接地。青洲五、七换流变采用有载调压变压器，变比为525±（-4~+8）×1.25%/514kV，网侧中性点直接接地，阀侧中性点经电阻、电抗接地。青洲五、七海上风电场直流送出工程换流变相关参数以南网科研院直流成套设计为准。</w:t>
      </w:r>
    </w:p>
    <w:p w14:paraId="54BE604D">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夏大方式下，青洲五七主变压器抽头选择在525/514kV、青洲六主变压器抽头选择在525/34SkV，青洲五六七交流母线电压为528.9kV（+6%），粤西开关站电压为528.3kV（+6%）。因此，青洲五六七电厂换流变采用525kV是可以满足夏季大方式的运行要求。当采用粤西开关站至卧龙或沧江仍一回线路“N-1”运行条件进行分析时，青洲五六七交流母线电压为519.5~525.2kV（+4%~+5%），电压变化范围满足相应规程规范的要求。</w:t>
      </w:r>
    </w:p>
    <w:p w14:paraId="7E5A672D">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夏小方式下，青洲五七主变压器抽头选择在525/514kV、青洲六主变压器抽头选择在525/345kV，青洲五六七交流母线电压为532.8kV（+7%），粤西开关站电压为531.2kV（+6%），电压水平合理，能满足安全运行要求。当采用粤西开关站至卧龙或沧江仍一回线路“N-1”运行条件进行分析时，青洲五六七交流母线电压为516.3~524.9kV（+3%~+5%），电压变化范围满足相应规程规范的要求。</w:t>
      </w:r>
    </w:p>
    <w:p w14:paraId="03E4DD59">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结合典型运行方式下的潮流计算结果可知，在采取近区电网投切各变电站低压无功补偿装置等调压手段的情况下，青洲五六七电厂及系统电压水平可以满足运行要求。</w:t>
      </w:r>
    </w:p>
    <w:p w14:paraId="19514220">
      <w:pPr>
        <w:tabs>
          <w:tab w:val="left" w:pos="0"/>
        </w:tabs>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p>
    <w:p w14:paraId="49C8D6D0">
      <w:pPr>
        <w:pStyle w:val="6"/>
        <w:numPr>
          <w:ilvl w:val="0"/>
          <w:numId w:val="0"/>
        </w:numPr>
        <w:tabs>
          <w:tab w:val="left" w:pos="0"/>
        </w:tabs>
        <w:ind w:leftChars="0"/>
        <w:jc w:val="center"/>
        <w:outlineLvl w:val="1"/>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pP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 xml:space="preserve">附件5 </w:t>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br w:type="textWrapping"/>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工频过电压实例分析</w:t>
      </w:r>
    </w:p>
    <w:p w14:paraId="4ADD6D0F">
      <w:pPr>
        <w:adjustRightInd w:val="0"/>
        <w:snapToGrid w:val="0"/>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使用BPA进行工频过电压计算，一般采用FLT卡，下面给出示例：</w:t>
      </w:r>
    </w:p>
    <w:p w14:paraId="4A097F32">
      <w:pPr>
        <w:adjustRightInd w:val="0"/>
        <w:snapToGrid w:val="0"/>
        <w:spacing w:line="360" w:lineRule="auto"/>
        <w:ind w:firstLine="420" w:firstLineChars="200"/>
        <w:rPr>
          <w:rFonts w:ascii="Times New Roman" w:hAnsi="Times New Roman" w:cs="Times New Roman"/>
          <w:i/>
          <w:iCs/>
          <w:color w:val="000000" w:themeColor="text1"/>
          <w:sz w:val="21"/>
          <w:szCs w:val="21"/>
          <w:highlight w:val="none"/>
          <w14:textFill>
            <w14:solidFill>
              <w14:schemeClr w14:val="tx1"/>
            </w14:solidFill>
          </w14:textFill>
        </w:rPr>
      </w:pPr>
      <w:r>
        <w:rPr>
          <w:rFonts w:ascii="Times New Roman" w:hAnsi="Times New Roman" w:cs="Times New Roman"/>
          <w:i/>
          <w:iCs/>
          <w:color w:val="000000" w:themeColor="text1"/>
          <w:sz w:val="21"/>
          <w:szCs w:val="21"/>
          <w:highlight w:val="none"/>
          <w14:textFill>
            <w14:solidFill>
              <w14:schemeClr w14:val="tx1"/>
            </w14:solidFill>
          </w14:textFill>
        </w:rPr>
        <w:t>..工频过电压</w:t>
      </w:r>
    </w:p>
    <w:p w14:paraId="0E4ACD62">
      <w:pPr>
        <w:adjustRightInd w:val="0"/>
        <w:snapToGrid w:val="0"/>
        <w:spacing w:line="360" w:lineRule="auto"/>
        <w:ind w:firstLine="420" w:firstLineChars="200"/>
        <w:rPr>
          <w:rFonts w:ascii="Times New Roman" w:hAnsi="Times New Roman" w:cs="Times New Roman"/>
          <w:i/>
          <w:iCs/>
          <w:color w:val="000000" w:themeColor="text1"/>
          <w:sz w:val="21"/>
          <w:szCs w:val="21"/>
          <w:highlight w:val="none"/>
          <w14:textFill>
            <w14:solidFill>
              <w14:schemeClr w14:val="tx1"/>
            </w14:solidFill>
          </w14:textFill>
        </w:rPr>
      </w:pPr>
      <w:r>
        <w:rPr>
          <w:rFonts w:ascii="Times New Roman" w:hAnsi="Times New Roman" w:cs="Times New Roman"/>
          <w:i/>
          <w:iCs/>
          <w:color w:val="000000" w:themeColor="text1"/>
          <w:sz w:val="21"/>
          <w:szCs w:val="21"/>
          <w:highlight w:val="none"/>
          <w14:textFill>
            <w14:solidFill>
              <w14:schemeClr w14:val="tx1"/>
            </w14:solidFill>
          </w14:textFill>
        </w:rPr>
        <w:t>..（无故障）</w:t>
      </w:r>
    </w:p>
    <w:p w14:paraId="03D461DC">
      <w:pPr>
        <w:adjustRightInd w:val="0"/>
        <w:snapToGrid w:val="0"/>
        <w:spacing w:line="360" w:lineRule="auto"/>
        <w:ind w:firstLine="420" w:firstLineChars="200"/>
        <w:rPr>
          <w:rFonts w:ascii="Times New Roman" w:hAnsi="Times New Roman" w:cs="Times New Roman"/>
          <w:i/>
          <w:iCs/>
          <w:color w:val="000000" w:themeColor="text1"/>
          <w:sz w:val="21"/>
          <w:szCs w:val="21"/>
          <w:highlight w:val="none"/>
          <w14:textFill>
            <w14:solidFill>
              <w14:schemeClr w14:val="tx1"/>
            </w14:solidFill>
          </w14:textFill>
        </w:rPr>
      </w:pPr>
      <w:r>
        <w:rPr>
          <w:rFonts w:ascii="Times New Roman" w:hAnsi="Times New Roman" w:cs="Times New Roman"/>
          <w:i/>
          <w:iCs/>
          <w:color w:val="000000" w:themeColor="text1"/>
          <w:sz w:val="21"/>
          <w:szCs w:val="21"/>
          <w:highlight w:val="none"/>
          <w14:textFill>
            <w14:solidFill>
              <w14:schemeClr w14:val="tx1"/>
            </w14:solidFill>
          </w14:textFill>
        </w:rPr>
        <w:t>.FLT 粤电蓄51525  粤电白51525 1 41 3</w:t>
      </w:r>
    </w:p>
    <w:p w14:paraId="1472F3D2">
      <w:pPr>
        <w:adjustRightInd w:val="0"/>
        <w:snapToGrid w:val="0"/>
        <w:spacing w:line="360" w:lineRule="auto"/>
        <w:ind w:firstLine="420" w:firstLineChars="200"/>
        <w:rPr>
          <w:rFonts w:ascii="Times New Roman" w:hAnsi="Times New Roman" w:cs="Times New Roman"/>
          <w:i/>
          <w:iCs/>
          <w:color w:val="000000" w:themeColor="text1"/>
          <w:sz w:val="21"/>
          <w:szCs w:val="21"/>
          <w:highlight w:val="none"/>
          <w14:textFill>
            <w14:solidFill>
              <w14:schemeClr w14:val="tx1"/>
            </w14:solidFill>
          </w14:textFill>
        </w:rPr>
      </w:pPr>
      <w:r>
        <w:rPr>
          <w:rFonts w:ascii="Times New Roman" w:hAnsi="Times New Roman" w:cs="Times New Roman"/>
          <w:i/>
          <w:iCs/>
          <w:color w:val="000000" w:themeColor="text1"/>
          <w:sz w:val="21"/>
          <w:szCs w:val="21"/>
          <w:highlight w:val="none"/>
          <w14:textFill>
            <w14:solidFill>
              <w14:schemeClr w14:val="tx1"/>
            </w14:solidFill>
          </w14:textFill>
        </w:rPr>
        <w:t>..（单回故障，切三相）</w:t>
      </w:r>
    </w:p>
    <w:p w14:paraId="3801992D">
      <w:pPr>
        <w:adjustRightInd w:val="0"/>
        <w:snapToGrid w:val="0"/>
        <w:spacing w:line="360" w:lineRule="auto"/>
        <w:ind w:firstLine="420" w:firstLineChars="200"/>
        <w:rPr>
          <w:rFonts w:ascii="Times New Roman" w:hAnsi="Times New Roman" w:cs="Times New Roman"/>
          <w:i/>
          <w:iCs/>
          <w:color w:val="000000" w:themeColor="text1"/>
          <w:sz w:val="21"/>
          <w:szCs w:val="21"/>
          <w:highlight w:val="none"/>
          <w14:textFill>
            <w14:solidFill>
              <w14:schemeClr w14:val="tx1"/>
            </w14:solidFill>
          </w14:textFill>
        </w:rPr>
      </w:pPr>
      <w:r>
        <w:rPr>
          <w:rFonts w:ascii="Times New Roman" w:hAnsi="Times New Roman" w:cs="Times New Roman"/>
          <w:i/>
          <w:iCs/>
          <w:color w:val="000000" w:themeColor="text1"/>
          <w:sz w:val="21"/>
          <w:szCs w:val="21"/>
          <w:highlight w:val="none"/>
          <w14:textFill>
            <w14:solidFill>
              <w14:schemeClr w14:val="tx1"/>
            </w14:solidFill>
          </w14:textFill>
        </w:rPr>
        <w:t>.FLT 粤电蓄51525  粤电白51525 1 41 1</w:t>
      </w:r>
    </w:p>
    <w:p w14:paraId="2CDAF326">
      <w:pPr>
        <w:adjustRightInd w:val="0"/>
        <w:snapToGrid w:val="0"/>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以上共有3行注释、2行指令语句，分别对应无故障三项断开和单相接地三相断开两种故障形式。每一字符的解读如下：</w:t>
      </w:r>
    </w:p>
    <w:tbl>
      <w:tblPr>
        <w:tblStyle w:val="16"/>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2069"/>
        <w:gridCol w:w="4136"/>
      </w:tblGrid>
      <w:tr w14:paraId="06D5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154" w:type="dxa"/>
            <w:vAlign w:val="center"/>
          </w:tcPr>
          <w:p w14:paraId="3B4B16EB">
            <w:pPr>
              <w:adjustRightInd w:val="0"/>
              <w:snapToGrid w:val="0"/>
              <w:jc w:val="center"/>
              <w:rPr>
                <w:rFonts w:hint="eastAsia" w:ascii="Times New Roman" w:hAnsi="Times New Roman" w:eastAsia="宋体" w:cs="宋体"/>
                <w:b/>
                <w:bCs/>
                <w:color w:val="000000" w:themeColor="text1"/>
                <w:sz w:val="18"/>
                <w:szCs w:val="18"/>
                <w:highlight w:val="none"/>
                <w14:textFill>
                  <w14:solidFill>
                    <w14:schemeClr w14:val="tx1"/>
                  </w14:solidFill>
                </w14:textFill>
              </w:rPr>
            </w:pPr>
            <w:r>
              <w:rPr>
                <w:rFonts w:hint="eastAsia" w:ascii="Times New Roman" w:hAnsi="Times New Roman" w:eastAsia="宋体" w:cs="宋体"/>
                <w:b/>
                <w:bCs/>
                <w:color w:val="000000" w:themeColor="text1"/>
                <w:sz w:val="18"/>
                <w:szCs w:val="18"/>
                <w:highlight w:val="none"/>
                <w14:textFill>
                  <w14:solidFill>
                    <w14:schemeClr w14:val="tx1"/>
                  </w14:solidFill>
                </w14:textFill>
              </w:rPr>
              <w:t>字符</w:t>
            </w:r>
          </w:p>
        </w:tc>
        <w:tc>
          <w:tcPr>
            <w:tcW w:w="2069" w:type="dxa"/>
            <w:vAlign w:val="center"/>
          </w:tcPr>
          <w:p w14:paraId="5F6752F0">
            <w:pPr>
              <w:adjustRightInd w:val="0"/>
              <w:snapToGrid w:val="0"/>
              <w:jc w:val="center"/>
              <w:rPr>
                <w:rFonts w:hint="eastAsia" w:ascii="Times New Roman" w:hAnsi="Times New Roman" w:eastAsia="宋体" w:cs="宋体"/>
                <w:b/>
                <w:bCs/>
                <w:color w:val="000000" w:themeColor="text1"/>
                <w:sz w:val="18"/>
                <w:szCs w:val="18"/>
                <w:highlight w:val="none"/>
                <w14:textFill>
                  <w14:solidFill>
                    <w14:schemeClr w14:val="tx1"/>
                  </w14:solidFill>
                </w14:textFill>
              </w:rPr>
            </w:pPr>
            <w:r>
              <w:rPr>
                <w:rFonts w:hint="eastAsia" w:ascii="Times New Roman" w:hAnsi="Times New Roman" w:eastAsia="宋体" w:cs="宋体"/>
                <w:b/>
                <w:bCs/>
                <w:color w:val="000000" w:themeColor="text1"/>
                <w:sz w:val="18"/>
                <w:szCs w:val="18"/>
                <w:highlight w:val="none"/>
                <w14:textFill>
                  <w14:solidFill>
                    <w14:schemeClr w14:val="tx1"/>
                  </w14:solidFill>
                </w14:textFill>
              </w:rPr>
              <w:t>内容</w:t>
            </w:r>
          </w:p>
        </w:tc>
        <w:tc>
          <w:tcPr>
            <w:tcW w:w="4136" w:type="dxa"/>
            <w:vAlign w:val="center"/>
          </w:tcPr>
          <w:p w14:paraId="6D185A89">
            <w:pPr>
              <w:adjustRightInd w:val="0"/>
              <w:snapToGrid w:val="0"/>
              <w:jc w:val="center"/>
              <w:rPr>
                <w:rFonts w:hint="eastAsia" w:ascii="Times New Roman" w:hAnsi="Times New Roman" w:eastAsia="宋体" w:cs="宋体"/>
                <w:b/>
                <w:bCs/>
                <w:color w:val="000000" w:themeColor="text1"/>
                <w:sz w:val="18"/>
                <w:szCs w:val="18"/>
                <w:highlight w:val="none"/>
                <w14:textFill>
                  <w14:solidFill>
                    <w14:schemeClr w14:val="tx1"/>
                  </w14:solidFill>
                </w14:textFill>
              </w:rPr>
            </w:pPr>
            <w:r>
              <w:rPr>
                <w:rFonts w:hint="eastAsia" w:ascii="Times New Roman" w:hAnsi="Times New Roman" w:eastAsia="宋体" w:cs="宋体"/>
                <w:b/>
                <w:bCs/>
                <w:color w:val="000000" w:themeColor="text1"/>
                <w:sz w:val="18"/>
                <w:szCs w:val="18"/>
                <w:highlight w:val="none"/>
                <w14:textFill>
                  <w14:solidFill>
                    <w14:schemeClr w14:val="tx1"/>
                  </w14:solidFill>
                </w14:textFill>
              </w:rPr>
              <w:t>说明</w:t>
            </w:r>
          </w:p>
        </w:tc>
      </w:tr>
      <w:tr w14:paraId="713A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621C02DC">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1-3</w:t>
            </w:r>
          </w:p>
        </w:tc>
        <w:tc>
          <w:tcPr>
            <w:tcW w:w="2069" w:type="dxa"/>
            <w:vAlign w:val="center"/>
          </w:tcPr>
          <w:p w14:paraId="6F9985EB">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FLT</w:t>
            </w:r>
          </w:p>
        </w:tc>
        <w:tc>
          <w:tcPr>
            <w:tcW w:w="4136" w:type="dxa"/>
            <w:vAlign w:val="center"/>
          </w:tcPr>
          <w:p w14:paraId="5133A030">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故障卡类型</w:t>
            </w:r>
          </w:p>
        </w:tc>
      </w:tr>
      <w:tr w14:paraId="3AB5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15285EC4">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5-12</w:t>
            </w:r>
          </w:p>
        </w:tc>
        <w:tc>
          <w:tcPr>
            <w:tcW w:w="2069" w:type="dxa"/>
            <w:vAlign w:val="center"/>
          </w:tcPr>
          <w:p w14:paraId="07DE848D">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粤电蓄51</w:t>
            </w:r>
          </w:p>
        </w:tc>
        <w:tc>
          <w:tcPr>
            <w:tcW w:w="4136" w:type="dxa"/>
            <w:vAlign w:val="center"/>
          </w:tcPr>
          <w:p w14:paraId="79ABCD4C">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前侧节点名称</w:t>
            </w:r>
          </w:p>
        </w:tc>
      </w:tr>
      <w:tr w14:paraId="389D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035EE945">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13-16</w:t>
            </w:r>
          </w:p>
        </w:tc>
        <w:tc>
          <w:tcPr>
            <w:tcW w:w="2069" w:type="dxa"/>
            <w:vAlign w:val="center"/>
          </w:tcPr>
          <w:p w14:paraId="3BFC3B24">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525</w:t>
            </w:r>
          </w:p>
        </w:tc>
        <w:tc>
          <w:tcPr>
            <w:tcW w:w="4136" w:type="dxa"/>
            <w:vAlign w:val="center"/>
          </w:tcPr>
          <w:p w14:paraId="17000F56">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前侧节点基准电压</w:t>
            </w:r>
          </w:p>
        </w:tc>
      </w:tr>
      <w:tr w14:paraId="7C01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6C60B49D">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18-25</w:t>
            </w:r>
          </w:p>
        </w:tc>
        <w:tc>
          <w:tcPr>
            <w:tcW w:w="2069" w:type="dxa"/>
            <w:vAlign w:val="center"/>
          </w:tcPr>
          <w:p w14:paraId="1744FA77">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粤电白51</w:t>
            </w:r>
          </w:p>
        </w:tc>
        <w:tc>
          <w:tcPr>
            <w:tcW w:w="4136" w:type="dxa"/>
            <w:vAlign w:val="center"/>
          </w:tcPr>
          <w:p w14:paraId="4EA6306D">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后侧节点名称</w:t>
            </w:r>
          </w:p>
        </w:tc>
      </w:tr>
      <w:tr w14:paraId="0FC4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1168CFBA">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26-29</w:t>
            </w:r>
          </w:p>
        </w:tc>
        <w:tc>
          <w:tcPr>
            <w:tcW w:w="2069" w:type="dxa"/>
            <w:vAlign w:val="center"/>
          </w:tcPr>
          <w:p w14:paraId="2D23BD16">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525</w:t>
            </w:r>
          </w:p>
        </w:tc>
        <w:tc>
          <w:tcPr>
            <w:tcW w:w="4136" w:type="dxa"/>
            <w:vAlign w:val="center"/>
          </w:tcPr>
          <w:p w14:paraId="125EA48F">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后侧节点基准电压</w:t>
            </w:r>
          </w:p>
        </w:tc>
      </w:tr>
      <w:tr w14:paraId="0E3D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5D95486D">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30</w:t>
            </w:r>
          </w:p>
        </w:tc>
        <w:tc>
          <w:tcPr>
            <w:tcW w:w="2069" w:type="dxa"/>
            <w:vAlign w:val="center"/>
          </w:tcPr>
          <w:p w14:paraId="00CE70EB">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w:t>
            </w:r>
          </w:p>
        </w:tc>
        <w:tc>
          <w:tcPr>
            <w:tcW w:w="4136" w:type="dxa"/>
            <w:vAlign w:val="center"/>
          </w:tcPr>
          <w:p w14:paraId="58AEC408">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回路标识</w:t>
            </w:r>
          </w:p>
        </w:tc>
      </w:tr>
      <w:tr w14:paraId="443B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1B4ABCCA">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32-33</w:t>
            </w:r>
          </w:p>
        </w:tc>
        <w:tc>
          <w:tcPr>
            <w:tcW w:w="2069" w:type="dxa"/>
            <w:vAlign w:val="center"/>
          </w:tcPr>
          <w:p w14:paraId="5ECF8CD5">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41</w:t>
            </w:r>
          </w:p>
        </w:tc>
        <w:tc>
          <w:tcPr>
            <w:tcW w:w="4136" w:type="dxa"/>
            <w:vAlign w:val="center"/>
          </w:tcPr>
          <w:p w14:paraId="44F7F5B3">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计算目标，41、42、43为工频过电压</w:t>
            </w:r>
          </w:p>
        </w:tc>
      </w:tr>
      <w:tr w14:paraId="7666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14:paraId="1CFEB41B">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35</w:t>
            </w:r>
          </w:p>
        </w:tc>
        <w:tc>
          <w:tcPr>
            <w:tcW w:w="2069" w:type="dxa"/>
            <w:vAlign w:val="center"/>
          </w:tcPr>
          <w:p w14:paraId="7B798E8F">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1、3</w:t>
            </w:r>
          </w:p>
        </w:tc>
        <w:tc>
          <w:tcPr>
            <w:tcW w:w="4136" w:type="dxa"/>
            <w:vAlign w:val="center"/>
          </w:tcPr>
          <w:p w14:paraId="05925311">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故障类型，1为单相接地三相断开，3为无故障三相断开</w:t>
            </w:r>
          </w:p>
        </w:tc>
      </w:tr>
    </w:tbl>
    <w:p w14:paraId="7B16A187">
      <w:pPr>
        <w:adjustRightInd w:val="0"/>
        <w:snapToGrid w:val="0"/>
        <w:spacing w:line="360" w:lineRule="auto"/>
        <w:ind w:firstLine="420" w:firstLineChars="200"/>
        <w:rPr>
          <w:rFonts w:ascii="Times New Roman" w:hAnsi="Times New Roman" w:cs="Times New Roman"/>
          <w:color w:val="000000" w:themeColor="text1"/>
          <w:sz w:val="21"/>
          <w:szCs w:val="21"/>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进行计算时，将上述示例复制进swi稳定计算文件中已有LS和FLT卡下方，直接运行BPA程序即可。</w:t>
      </w:r>
    </w:p>
    <w:p w14:paraId="64D7C7C6">
      <w:pPr>
        <w:adjustRightInd w:val="0"/>
        <w:snapToGrid w:val="0"/>
        <w:spacing w:line="360" w:lineRule="auto"/>
        <w:ind w:firstLine="420" w:firstLineChars="200"/>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1"/>
          <w:szCs w:val="21"/>
          <w:highlight w:val="none"/>
          <w14:textFill>
            <w14:solidFill>
              <w14:schemeClr w14:val="tx1"/>
            </w14:solidFill>
          </w14:textFill>
        </w:rPr>
        <w:t>程序运行完毕后，在OUT文件中搜索关键词“工频过电压”，即可找到计算结果，示例如下：</w:t>
      </w:r>
    </w:p>
    <w:p w14:paraId="368C7420">
      <w:pPr>
        <w:adjustRightInd w:val="0"/>
        <w:snapToGrid w:val="0"/>
        <w:spacing w:line="360" w:lineRule="auto"/>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drawing>
          <wp:inline distT="0" distB="0" distL="0" distR="0">
            <wp:extent cx="5111115" cy="970280"/>
            <wp:effectExtent l="0" t="0" r="13335" b="1270"/>
            <wp:docPr id="72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 name="图片 4"/>
                    <pic:cNvPicPr>
                      <a:picLocks noChangeAspect="1"/>
                    </pic:cNvPicPr>
                  </pic:nvPicPr>
                  <pic:blipFill>
                    <a:blip r:embed="rId12"/>
                    <a:stretch>
                      <a:fillRect/>
                    </a:stretch>
                  </pic:blipFill>
                  <pic:spPr>
                    <a:xfrm>
                      <a:off x="0" y="0"/>
                      <a:ext cx="5111115" cy="970280"/>
                    </a:xfrm>
                    <a:prstGeom prst="rect">
                      <a:avLst/>
                    </a:prstGeom>
                  </pic:spPr>
                </pic:pic>
              </a:graphicData>
            </a:graphic>
          </wp:inline>
        </w:drawing>
      </w:r>
    </w:p>
    <w:p w14:paraId="55D55F66">
      <w:pPr>
        <w:adjustRightInd w:val="0"/>
        <w:snapToGrid w:val="0"/>
        <w:spacing w:line="360" w:lineRule="auto"/>
        <w:ind w:firstLine="420" w:firstLineChars="2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结果中，第二列（支路名称列）给出了结算结果中各母线、线路侧的工频过电压水平，分别与倒数第一、二列的数据一一对应（其中前端指前侧节点，在本例中为粤电蓄51；后端指后侧节点，在本例中为粤电白51）。接下来分别记录故障侧的线路侧和母线侧，三相工频过电压水平中最大的值即可。</w:t>
      </w:r>
    </w:p>
    <w:p w14:paraId="47DD95B6">
      <w:pPr>
        <w:adjustRightInd w:val="0"/>
        <w:snapToGrid w:val="0"/>
        <w:spacing w:line="360" w:lineRule="auto"/>
        <w:ind w:firstLine="420" w:firstLineChars="2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需注意，如果在指令语句中调换前侧和后侧节点，计算结果会有细微不同。严谨起见，建议调换节点后记录最大的值。</w:t>
      </w:r>
    </w:p>
    <w:p w14:paraId="3B0BDB76">
      <w:pPr>
        <w:adjustRightInd w:val="0"/>
        <w:snapToGrid w:val="0"/>
        <w:spacing w:line="360" w:lineRule="auto"/>
        <w:ind w:firstLine="420" w:firstLineChars="200"/>
        <w:rPr>
          <w:rFonts w:hint="eastAsia" w:ascii="Times New Roman" w:hAnsi="Times New Roman" w:eastAsia="宋体" w:cs="宋体"/>
          <w:color w:val="000000" w:themeColor="text1"/>
          <w:sz w:val="21"/>
          <w:szCs w:val="21"/>
          <w:highlight w:val="none"/>
          <w14:textFill>
            <w14:solidFill>
              <w14:schemeClr w14:val="tx1"/>
            </w14:solidFill>
          </w14:textFill>
        </w:rPr>
      </w:pPr>
    </w:p>
    <w:p w14:paraId="33D23BF2">
      <w:pPr>
        <w:pStyle w:val="6"/>
        <w:numPr>
          <w:ilvl w:val="0"/>
          <w:numId w:val="0"/>
        </w:numPr>
        <w:tabs>
          <w:tab w:val="left" w:pos="0"/>
        </w:tabs>
        <w:ind w:leftChars="0"/>
        <w:jc w:val="center"/>
        <w:outlineLvl w:val="1"/>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pP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 xml:space="preserve">附件6 </w:t>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br w:type="textWrapping"/>
      </w:r>
      <w:r>
        <w:rPr>
          <w:rFonts w:hint="eastAsia" w:ascii="Times New Roman" w:hAnsi="Times New Roman" w:eastAsia="黑体" w:cs="黑体"/>
          <w:color w:val="000000" w:themeColor="text1"/>
          <w:sz w:val="21"/>
          <w:szCs w:val="21"/>
          <w:highlight w:val="none"/>
          <w:lang w:val="en-US" w:eastAsia="zh-CN"/>
          <w14:textFill>
            <w14:solidFill>
              <w14:schemeClr w14:val="tx1"/>
            </w14:solidFill>
          </w14:textFill>
        </w:rPr>
        <w:t>潜供电流实例分析</w:t>
      </w:r>
    </w:p>
    <w:p w14:paraId="0E4B8D26">
      <w:pPr>
        <w:adjustRightInd w:val="0"/>
        <w:snapToGrid w:val="0"/>
        <w:spacing w:line="360" w:lineRule="auto"/>
        <w:ind w:firstLine="420" w:firstLineChars="2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使用BPA进行潜供电流计算，一般采用FLT卡，下面给出示例：</w:t>
      </w:r>
    </w:p>
    <w:p w14:paraId="6A36298D">
      <w:pPr>
        <w:adjustRightInd w:val="0"/>
        <w:snapToGrid w:val="0"/>
        <w:spacing w:line="360" w:lineRule="auto"/>
        <w:ind w:firstLine="420" w:firstLineChars="200"/>
        <w:rPr>
          <w:rFonts w:hint="eastAsia" w:ascii="Times New Roman" w:hAnsi="Times New Roman" w:eastAsia="宋体" w:cs="宋体"/>
          <w:i/>
          <w:iCs/>
          <w:color w:val="000000" w:themeColor="text1"/>
          <w:sz w:val="21"/>
          <w:szCs w:val="21"/>
          <w:highlight w:val="none"/>
          <w14:textFill>
            <w14:solidFill>
              <w14:schemeClr w14:val="tx1"/>
            </w14:solidFill>
          </w14:textFill>
        </w:rPr>
      </w:pPr>
      <w:r>
        <w:rPr>
          <w:rFonts w:hint="eastAsia" w:ascii="Times New Roman" w:hAnsi="Times New Roman" w:eastAsia="宋体" w:cs="宋体"/>
          <w:i/>
          <w:iCs/>
          <w:color w:val="000000" w:themeColor="text1"/>
          <w:sz w:val="21"/>
          <w:szCs w:val="21"/>
          <w:highlight w:val="none"/>
          <w14:textFill>
            <w14:solidFill>
              <w14:schemeClr w14:val="tx1"/>
            </w14:solidFill>
          </w14:textFill>
        </w:rPr>
        <w:t>FLT 粤电蓄51525  粤电白51525 1 35</w:t>
      </w:r>
    </w:p>
    <w:p w14:paraId="16CF6BAB">
      <w:pPr>
        <w:adjustRightInd w:val="0"/>
        <w:snapToGrid w:val="0"/>
        <w:spacing w:line="360" w:lineRule="auto"/>
        <w:ind w:firstLine="420" w:firstLineChars="2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每一字符的解读如下：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2759"/>
        <w:gridCol w:w="2766"/>
      </w:tblGrid>
      <w:tr w14:paraId="6914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20" w:type="dxa"/>
            <w:vAlign w:val="center"/>
          </w:tcPr>
          <w:p w14:paraId="09115261">
            <w:pPr>
              <w:adjustRightInd w:val="0"/>
              <w:snapToGrid w:val="0"/>
              <w:jc w:val="center"/>
              <w:rPr>
                <w:rFonts w:hint="eastAsia" w:ascii="Times New Roman" w:hAnsi="Times New Roman" w:eastAsia="宋体" w:cs="宋体"/>
                <w:b/>
                <w:bCs/>
                <w:color w:val="000000" w:themeColor="text1"/>
                <w:sz w:val="18"/>
                <w:szCs w:val="18"/>
                <w:highlight w:val="none"/>
                <w14:textFill>
                  <w14:solidFill>
                    <w14:schemeClr w14:val="tx1"/>
                  </w14:solidFill>
                </w14:textFill>
              </w:rPr>
            </w:pPr>
            <w:r>
              <w:rPr>
                <w:rFonts w:hint="eastAsia" w:ascii="Times New Roman" w:hAnsi="Times New Roman" w:eastAsia="宋体" w:cs="宋体"/>
                <w:b/>
                <w:bCs/>
                <w:color w:val="000000" w:themeColor="text1"/>
                <w:sz w:val="18"/>
                <w:szCs w:val="18"/>
                <w:highlight w:val="none"/>
                <w14:textFill>
                  <w14:solidFill>
                    <w14:schemeClr w14:val="tx1"/>
                  </w14:solidFill>
                </w14:textFill>
              </w:rPr>
              <w:t>字符</w:t>
            </w:r>
          </w:p>
        </w:tc>
        <w:tc>
          <w:tcPr>
            <w:tcW w:w="3020" w:type="dxa"/>
            <w:vAlign w:val="center"/>
          </w:tcPr>
          <w:p w14:paraId="0921F215">
            <w:pPr>
              <w:adjustRightInd w:val="0"/>
              <w:snapToGrid w:val="0"/>
              <w:jc w:val="center"/>
              <w:rPr>
                <w:rFonts w:hint="eastAsia" w:ascii="Times New Roman" w:hAnsi="Times New Roman" w:eastAsia="宋体" w:cs="宋体"/>
                <w:b/>
                <w:bCs/>
                <w:color w:val="000000" w:themeColor="text1"/>
                <w:sz w:val="18"/>
                <w:szCs w:val="18"/>
                <w:highlight w:val="none"/>
                <w14:textFill>
                  <w14:solidFill>
                    <w14:schemeClr w14:val="tx1"/>
                  </w14:solidFill>
                </w14:textFill>
              </w:rPr>
            </w:pPr>
            <w:r>
              <w:rPr>
                <w:rFonts w:hint="eastAsia" w:ascii="Times New Roman" w:hAnsi="Times New Roman" w:eastAsia="宋体" w:cs="宋体"/>
                <w:b/>
                <w:bCs/>
                <w:color w:val="000000" w:themeColor="text1"/>
                <w:sz w:val="18"/>
                <w:szCs w:val="18"/>
                <w:highlight w:val="none"/>
                <w14:textFill>
                  <w14:solidFill>
                    <w14:schemeClr w14:val="tx1"/>
                  </w14:solidFill>
                </w14:textFill>
              </w:rPr>
              <w:t>内容</w:t>
            </w:r>
          </w:p>
        </w:tc>
        <w:tc>
          <w:tcPr>
            <w:tcW w:w="3020" w:type="dxa"/>
            <w:vAlign w:val="center"/>
          </w:tcPr>
          <w:p w14:paraId="6C334BF2">
            <w:pPr>
              <w:adjustRightInd w:val="0"/>
              <w:snapToGrid w:val="0"/>
              <w:jc w:val="center"/>
              <w:rPr>
                <w:rFonts w:hint="eastAsia" w:ascii="Times New Roman" w:hAnsi="Times New Roman" w:eastAsia="宋体" w:cs="宋体"/>
                <w:b/>
                <w:bCs/>
                <w:color w:val="000000" w:themeColor="text1"/>
                <w:sz w:val="18"/>
                <w:szCs w:val="18"/>
                <w:highlight w:val="none"/>
                <w14:textFill>
                  <w14:solidFill>
                    <w14:schemeClr w14:val="tx1"/>
                  </w14:solidFill>
                </w14:textFill>
              </w:rPr>
            </w:pPr>
            <w:r>
              <w:rPr>
                <w:rFonts w:hint="eastAsia" w:ascii="Times New Roman" w:hAnsi="Times New Roman" w:eastAsia="宋体" w:cs="宋体"/>
                <w:b/>
                <w:bCs/>
                <w:color w:val="000000" w:themeColor="text1"/>
                <w:sz w:val="18"/>
                <w:szCs w:val="18"/>
                <w:highlight w:val="none"/>
                <w14:textFill>
                  <w14:solidFill>
                    <w14:schemeClr w14:val="tx1"/>
                  </w14:solidFill>
                </w14:textFill>
              </w:rPr>
              <w:t>说明</w:t>
            </w:r>
          </w:p>
        </w:tc>
      </w:tr>
      <w:tr w14:paraId="1D61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4ACB72FF">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1-3</w:t>
            </w:r>
          </w:p>
        </w:tc>
        <w:tc>
          <w:tcPr>
            <w:tcW w:w="3020" w:type="dxa"/>
            <w:vAlign w:val="center"/>
          </w:tcPr>
          <w:p w14:paraId="6E7C2F8A">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FLT</w:t>
            </w:r>
          </w:p>
        </w:tc>
        <w:tc>
          <w:tcPr>
            <w:tcW w:w="3020" w:type="dxa"/>
            <w:vAlign w:val="center"/>
          </w:tcPr>
          <w:p w14:paraId="4C60375D">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故障卡类型</w:t>
            </w:r>
          </w:p>
        </w:tc>
      </w:tr>
      <w:tr w14:paraId="6F89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38960010">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5-12</w:t>
            </w:r>
          </w:p>
        </w:tc>
        <w:tc>
          <w:tcPr>
            <w:tcW w:w="3020" w:type="dxa"/>
            <w:vAlign w:val="center"/>
          </w:tcPr>
          <w:p w14:paraId="1F4595AE">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粤电蓄51</w:t>
            </w:r>
          </w:p>
        </w:tc>
        <w:tc>
          <w:tcPr>
            <w:tcW w:w="3020" w:type="dxa"/>
            <w:vAlign w:val="center"/>
          </w:tcPr>
          <w:p w14:paraId="158C38A4">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前侧节点名称</w:t>
            </w:r>
          </w:p>
        </w:tc>
      </w:tr>
      <w:tr w14:paraId="7F41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3D44BC68">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13-16</w:t>
            </w:r>
          </w:p>
        </w:tc>
        <w:tc>
          <w:tcPr>
            <w:tcW w:w="3020" w:type="dxa"/>
            <w:vAlign w:val="center"/>
          </w:tcPr>
          <w:p w14:paraId="669FA4FC">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525</w:t>
            </w:r>
          </w:p>
        </w:tc>
        <w:tc>
          <w:tcPr>
            <w:tcW w:w="3020" w:type="dxa"/>
            <w:vAlign w:val="center"/>
          </w:tcPr>
          <w:p w14:paraId="422EEF8C">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前侧节点基准电压</w:t>
            </w:r>
          </w:p>
        </w:tc>
      </w:tr>
      <w:tr w14:paraId="0EFB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06609805">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18-25</w:t>
            </w:r>
          </w:p>
        </w:tc>
        <w:tc>
          <w:tcPr>
            <w:tcW w:w="3020" w:type="dxa"/>
            <w:vAlign w:val="center"/>
          </w:tcPr>
          <w:p w14:paraId="6DF3C055">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粤电白51</w:t>
            </w:r>
          </w:p>
        </w:tc>
        <w:tc>
          <w:tcPr>
            <w:tcW w:w="3020" w:type="dxa"/>
            <w:vAlign w:val="center"/>
          </w:tcPr>
          <w:p w14:paraId="476AAF8F">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后侧节点名称</w:t>
            </w:r>
          </w:p>
        </w:tc>
      </w:tr>
      <w:tr w14:paraId="1FD8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719F1D89">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26-29</w:t>
            </w:r>
          </w:p>
        </w:tc>
        <w:tc>
          <w:tcPr>
            <w:tcW w:w="3020" w:type="dxa"/>
            <w:vAlign w:val="center"/>
          </w:tcPr>
          <w:p w14:paraId="78263844">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525</w:t>
            </w:r>
          </w:p>
        </w:tc>
        <w:tc>
          <w:tcPr>
            <w:tcW w:w="3020" w:type="dxa"/>
            <w:vAlign w:val="center"/>
          </w:tcPr>
          <w:p w14:paraId="5620DB60">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后侧节点基准电压</w:t>
            </w:r>
          </w:p>
        </w:tc>
      </w:tr>
      <w:tr w14:paraId="7756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664084C5">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30</w:t>
            </w:r>
          </w:p>
        </w:tc>
        <w:tc>
          <w:tcPr>
            <w:tcW w:w="3020" w:type="dxa"/>
            <w:vAlign w:val="center"/>
          </w:tcPr>
          <w:p w14:paraId="539B8EDE">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1</w:t>
            </w:r>
          </w:p>
        </w:tc>
        <w:tc>
          <w:tcPr>
            <w:tcW w:w="3020" w:type="dxa"/>
            <w:vAlign w:val="center"/>
          </w:tcPr>
          <w:p w14:paraId="0E6BC691">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回路标识</w:t>
            </w:r>
          </w:p>
        </w:tc>
      </w:tr>
      <w:tr w14:paraId="3E92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Align w:val="center"/>
          </w:tcPr>
          <w:p w14:paraId="00F64D2A">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32-33</w:t>
            </w:r>
          </w:p>
        </w:tc>
        <w:tc>
          <w:tcPr>
            <w:tcW w:w="3020" w:type="dxa"/>
            <w:vAlign w:val="center"/>
          </w:tcPr>
          <w:p w14:paraId="23BD6227">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35</w:t>
            </w:r>
          </w:p>
        </w:tc>
        <w:tc>
          <w:tcPr>
            <w:tcW w:w="3020" w:type="dxa"/>
            <w:vAlign w:val="center"/>
          </w:tcPr>
          <w:p w14:paraId="3024A412">
            <w:pPr>
              <w:adjustRightInd w:val="0"/>
              <w:snapToGrid w:val="0"/>
              <w:jc w:val="center"/>
              <w:rPr>
                <w:rFonts w:hint="eastAsia" w:ascii="Times New Roman" w:hAnsi="Times New Roman" w:eastAsia="宋体" w:cs="宋体"/>
                <w:color w:val="000000" w:themeColor="text1"/>
                <w:sz w:val="18"/>
                <w:szCs w:val="18"/>
                <w:highlight w:val="none"/>
                <w14:textFill>
                  <w14:solidFill>
                    <w14:schemeClr w14:val="tx1"/>
                  </w14:solidFill>
                </w14:textFill>
              </w:rPr>
            </w:pPr>
            <w:r>
              <w:rPr>
                <w:rFonts w:hint="eastAsia" w:ascii="Times New Roman" w:hAnsi="Times New Roman" w:eastAsia="宋体" w:cs="宋体"/>
                <w:color w:val="000000" w:themeColor="text1"/>
                <w:sz w:val="18"/>
                <w:szCs w:val="18"/>
                <w:highlight w:val="none"/>
                <w14:textFill>
                  <w14:solidFill>
                    <w14:schemeClr w14:val="tx1"/>
                  </w14:solidFill>
                </w14:textFill>
              </w:rPr>
              <w:t>计算目标，35、36、37为潜供电流</w:t>
            </w:r>
          </w:p>
        </w:tc>
      </w:tr>
    </w:tbl>
    <w:p w14:paraId="4808A36B">
      <w:pPr>
        <w:adjustRightInd w:val="0"/>
        <w:snapToGrid w:val="0"/>
        <w:spacing w:before="156" w:beforeLines="50" w:line="360" w:lineRule="auto"/>
        <w:ind w:firstLine="420" w:firstLineChars="2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进行计算时，将上述示例复制进swi稳定计算文件中已有LS和FLT卡下方，直接运行BPA程序即可。</w:t>
      </w:r>
    </w:p>
    <w:p w14:paraId="7DE582F4">
      <w:pPr>
        <w:adjustRightInd w:val="0"/>
        <w:snapToGrid w:val="0"/>
        <w:spacing w:line="360" w:lineRule="auto"/>
        <w:ind w:firstLine="420" w:firstLineChars="200"/>
        <w:rPr>
          <w:rFonts w:ascii="Times New Roman" w:hAnsi="Times New Roman" w:cs="Times New Roman"/>
          <w:color w:val="000000" w:themeColor="text1"/>
          <w:sz w:val="28"/>
          <w:szCs w:val="28"/>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程序运行完毕后，在OUT文件中搜索关键词“潜供电流”，即可找到计算结果，示例如下：</w:t>
      </w:r>
    </w:p>
    <w:p w14:paraId="781A6888">
      <w:pPr>
        <w:adjustRightInd w:val="0"/>
        <w:snapToGrid w:val="0"/>
        <w:spacing w:line="360" w:lineRule="auto"/>
        <w:jc w:val="center"/>
        <w:rPr>
          <w:rFonts w:ascii="Times New Roman" w:hAnsi="Times New Roman" w:cs="Times New Roman"/>
          <w:color w:val="000000" w:themeColor="text1"/>
          <w:sz w:val="28"/>
          <w:szCs w:val="28"/>
          <w:highlight w:val="none"/>
          <w14:textFill>
            <w14:solidFill>
              <w14:schemeClr w14:val="tx1"/>
            </w14:solidFill>
          </w14:textFill>
        </w:rPr>
      </w:pPr>
      <w:r>
        <w:rPr>
          <w:rFonts w:ascii="Times New Roman" w:hAnsi="Times New Roman" w:cs="Times New Roman"/>
          <w:color w:val="000000" w:themeColor="text1"/>
          <w:sz w:val="28"/>
          <w:szCs w:val="28"/>
          <w:highlight w:val="none"/>
          <w14:textFill>
            <w14:solidFill>
              <w14:schemeClr w14:val="tx1"/>
            </w14:solidFill>
          </w14:textFill>
        </w:rPr>
        <w:drawing>
          <wp:inline distT="0" distB="0" distL="0" distR="0">
            <wp:extent cx="5090795" cy="638810"/>
            <wp:effectExtent l="0" t="0" r="14605" b="889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3"/>
                    <a:stretch>
                      <a:fillRect/>
                    </a:stretch>
                  </pic:blipFill>
                  <pic:spPr>
                    <a:xfrm>
                      <a:off x="0" y="0"/>
                      <a:ext cx="5090795" cy="638810"/>
                    </a:xfrm>
                    <a:prstGeom prst="rect">
                      <a:avLst/>
                    </a:prstGeom>
                  </pic:spPr>
                </pic:pic>
              </a:graphicData>
            </a:graphic>
          </wp:inline>
        </w:drawing>
      </w:r>
    </w:p>
    <w:p w14:paraId="6C2A1811">
      <w:pPr>
        <w:adjustRightInd w:val="0"/>
        <w:snapToGrid w:val="0"/>
        <w:spacing w:before="156" w:beforeLines="50" w:line="360" w:lineRule="auto"/>
        <w:ind w:firstLine="420" w:firstLineChars="200"/>
        <w:rPr>
          <w:rFonts w:hint="eastAsia" w:ascii="Times New Roman" w:hAnsi="Times New Roman" w:eastAsia="宋体" w:cs="宋体"/>
          <w:color w:val="000000" w:themeColor="text1"/>
          <w:sz w:val="21"/>
          <w:szCs w:val="21"/>
          <w:highlight w:val="none"/>
          <w14:textFill>
            <w14:solidFill>
              <w14:schemeClr w14:val="tx1"/>
            </w14:solidFill>
          </w14:textFill>
        </w:rPr>
      </w:pPr>
      <w:r>
        <w:rPr>
          <w:rFonts w:hint="eastAsia" w:ascii="Times New Roman" w:hAnsi="Times New Roman" w:eastAsia="宋体" w:cs="宋体"/>
          <w:color w:val="000000" w:themeColor="text1"/>
          <w:sz w:val="21"/>
          <w:szCs w:val="21"/>
          <w:highlight w:val="none"/>
          <w14:textFill>
            <w14:solidFill>
              <w14:schemeClr w14:val="tx1"/>
            </w14:solidFill>
          </w14:textFill>
        </w:rPr>
        <w:t>记录结果，判断其是否可以采用快速单相重合闸即可。需注意，如果在指令语句中调换前侧和后侧节点，计算结果可能会有细微不同。严谨起见，建议调换节点后记录最大的值。</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396F8F-7557-4AE9-B4A2-2C58980499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78710AAC-5336-47FA-93AF-E17F61AB1E74}"/>
  </w:font>
  <w:font w:name="Cambria Math">
    <w:panose1 w:val="02040503050406030204"/>
    <w:charset w:val="00"/>
    <w:family w:val="roman"/>
    <w:pitch w:val="default"/>
    <w:sig w:usb0="E00006FF" w:usb1="420024FF" w:usb2="02000000" w:usb3="00000000" w:csb0="2000019F" w:csb1="00000000"/>
    <w:embedRegular r:id="rId3" w:fontKey="{C1368840-170D-4F6C-8E6E-25B431DEEDFE}"/>
  </w:font>
  <w:font w:name="WPSEMBED13">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B1D46">
    <w:pPr>
      <w:pStyle w:val="11"/>
    </w:pPr>
    <w:r>
      <w:fldChar w:fldCharType="begin"/>
    </w:r>
    <w:r>
      <w:instrText xml:space="preserve"> PAGE   \* MERGEFORMAT </w:instrText>
    </w:r>
    <w:r>
      <w:fldChar w:fldCharType="separate"/>
    </w:r>
    <w:r>
      <w:rPr>
        <w:lang w:val="zh-CN"/>
      </w:rPr>
      <w:t>II</w:t>
    </w:r>
    <w:r>
      <w:rPr>
        <w:lang w:val="zh-CN"/>
      </w:rPr>
      <w:fldChar w:fldCharType="end"/>
    </w:r>
  </w:p>
  <w:p w14:paraId="430B656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B9EE6">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9BAEF">
                          <w:pPr>
                            <w:pStyle w:val="11"/>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279BAEF">
                    <w:pPr>
                      <w:pStyle w:val="11"/>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3A142">
    <w:pPr>
      <w:pStyle w:val="11"/>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5346F">
                          <w:pPr>
                            <w:pStyle w:val="11"/>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DE5346F">
                    <w:pPr>
                      <w:pStyle w:val="11"/>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E6F19">
    <w:pPr>
      <w:pStyle w:val="11"/>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1F53D">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D91F53D">
                    <w:pPr>
                      <w:pStyle w:val="11"/>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4D20B">
    <w:pPr>
      <w:pStyle w:val="12"/>
      <w:keepNext w:val="0"/>
      <w:keepLines w:val="0"/>
      <w:pageBreakBefore w:val="0"/>
      <w:widowControl w:val="0"/>
      <w:kinsoku/>
      <w:wordWrap/>
      <w:overflowPunct/>
      <w:topLinePunct w:val="0"/>
      <w:bidi w:val="0"/>
      <w:adjustRightInd/>
      <w:snapToGrid/>
      <w:jc w:val="right"/>
      <w:textAlignment w:val="auto"/>
      <w:rPr>
        <w:rFonts w:ascii="Times New Roman" w:hAnsi="Times New Roman" w:eastAsia="黑体" w:cs="Times New Roman"/>
        <w:bCs/>
        <w:szCs w:val="21"/>
      </w:rPr>
    </w:pPr>
  </w:p>
  <w:p w14:paraId="20E6F437">
    <w:pPr>
      <w:pStyle w:val="12"/>
      <w:keepNext w:val="0"/>
      <w:keepLines w:val="0"/>
      <w:pageBreakBefore w:val="0"/>
      <w:widowControl w:val="0"/>
      <w:kinsoku/>
      <w:wordWrap/>
      <w:overflowPunct/>
      <w:topLinePunct w:val="0"/>
      <w:bidi w:val="0"/>
      <w:adjustRightInd/>
      <w:snapToGrid/>
      <w:jc w:val="right"/>
      <w:textAlignment w:val="auto"/>
    </w:pPr>
    <w:r>
      <w:rPr>
        <w:rFonts w:ascii="Times New Roman" w:hAnsi="Times New Roman" w:eastAsia="黑体" w:cs="Times New Roman"/>
        <w:bCs/>
        <w:szCs w:val="21"/>
      </w:rPr>
      <w:t>T/SDL X.Y--202</w:t>
    </w:r>
    <w:r>
      <w:rPr>
        <w:rFonts w:hint="eastAsia" w:ascii="Times New Roman" w:hAnsi="Times New Roman" w:eastAsia="黑体" w:cs="Times New Roman"/>
        <w:bCs/>
        <w:szCs w:val="21"/>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4C844">
    <w:pPr>
      <w:pStyle w:val="12"/>
      <w:jc w:val="left"/>
      <w:rPr>
        <w:sz w:val="21"/>
        <w:szCs w:val="21"/>
      </w:rPr>
    </w:pPr>
    <w:r>
      <w:rPr>
        <w:sz w:val="21"/>
        <w:szCs w:val="21"/>
      </w:rPr>
      <w:t>DL/TXXXX-2017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18EC5"/>
    <w:multiLevelType w:val="multilevel"/>
    <w:tmpl w:val="E5118EC5"/>
    <w:lvl w:ilvl="0" w:tentative="0">
      <w:start w:val="1"/>
      <w:numFmt w:val="decimal"/>
      <w:suff w:val="space"/>
      <w:lvlText w:val="%1"/>
      <w:lvlJc w:val="left"/>
      <w:pPr>
        <w:tabs>
          <w:tab w:val="left" w:pos="0"/>
        </w:tabs>
        <w:ind w:left="0" w:firstLine="0"/>
      </w:pPr>
      <w:rPr>
        <w:rFonts w:hint="default"/>
      </w:rPr>
    </w:lvl>
    <w:lvl w:ilvl="1" w:tentative="0">
      <w:start w:val="1"/>
      <w:numFmt w:val="decimal"/>
      <w:suff w:val="space"/>
      <w:lvlText w:val="%1.%2"/>
      <w:lvlJc w:val="left"/>
      <w:pPr>
        <w:tabs>
          <w:tab w:val="left" w:pos="0"/>
        </w:tabs>
        <w:ind w:left="0" w:firstLine="0"/>
      </w:pPr>
      <w:rPr>
        <w:rFonts w:hint="default"/>
      </w:rPr>
    </w:lvl>
    <w:lvl w:ilvl="2" w:tentative="0">
      <w:start w:val="1"/>
      <w:numFmt w:val="decimal"/>
      <w:suff w:val="space"/>
      <w:lvlText w:val="%1.%2.%3"/>
      <w:lvlJc w:val="left"/>
      <w:pPr>
        <w:tabs>
          <w:tab w:val="left" w:pos="0"/>
        </w:tabs>
        <w:ind w:left="0" w:firstLine="0"/>
      </w:pPr>
      <w:rPr>
        <w:rFonts w:hint="default"/>
      </w:rPr>
    </w:lvl>
    <w:lvl w:ilvl="3" w:tentative="0">
      <w:start w:val="1"/>
      <w:numFmt w:val="decimal"/>
      <w:suff w:val="space"/>
      <w:lvlText w:val="%1.%2.%3.%4"/>
      <w:lvlJc w:val="left"/>
      <w:pPr>
        <w:ind w:left="0" w:firstLine="0"/>
      </w:pPr>
      <w:rPr>
        <w:rFonts w:hint="default" w:ascii="宋体" w:hAnsi="宋体" w:eastAsia="宋体" w:cs="宋体"/>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1829015A"/>
    <w:multiLevelType w:val="multilevel"/>
    <w:tmpl w:val="1829015A"/>
    <w:lvl w:ilvl="0" w:tentative="0">
      <w:start w:val="1"/>
      <w:numFmt w:val="decimal"/>
      <w:suff w:val="space"/>
      <w:lvlText w:val="%1"/>
      <w:lvlJc w:val="left"/>
      <w:pPr>
        <w:ind w:left="0" w:firstLine="0"/>
      </w:pPr>
      <w:rPr>
        <w:rFonts w:hint="default"/>
      </w:rPr>
    </w:lvl>
    <w:lvl w:ilvl="1" w:tentative="0">
      <w:start w:val="0"/>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29031628"/>
    <w:multiLevelType w:val="multilevel"/>
    <w:tmpl w:val="29031628"/>
    <w:lvl w:ilvl="0" w:tentative="0">
      <w:start w:val="5"/>
      <w:numFmt w:val="decimal"/>
      <w:suff w:val="space"/>
      <w:lvlText w:val="%1"/>
      <w:lvlJc w:val="left"/>
      <w:pPr>
        <w:tabs>
          <w:tab w:val="left" w:pos="0"/>
        </w:tabs>
        <w:ind w:left="0" w:firstLine="0"/>
      </w:pPr>
      <w:rPr>
        <w:rFonts w:hint="default"/>
      </w:rPr>
    </w:lvl>
    <w:lvl w:ilvl="1" w:tentative="0">
      <w:start w:val="1"/>
      <w:numFmt w:val="decimal"/>
      <w:suff w:val="space"/>
      <w:lvlText w:val="%1.%2"/>
      <w:lvlJc w:val="left"/>
      <w:pPr>
        <w:tabs>
          <w:tab w:val="left" w:pos="0"/>
        </w:tabs>
        <w:ind w:left="0" w:firstLine="0"/>
      </w:pPr>
      <w:rPr>
        <w:rFonts w:hint="default"/>
      </w:rPr>
    </w:lvl>
    <w:lvl w:ilvl="2" w:tentative="0">
      <w:start w:val="1"/>
      <w:numFmt w:val="decimal"/>
      <w:suff w:val="space"/>
      <w:lvlText w:val="%1.%2.%3"/>
      <w:lvlJc w:val="left"/>
      <w:pPr>
        <w:tabs>
          <w:tab w:val="left" w:pos="0"/>
        </w:tabs>
        <w:ind w:left="0" w:firstLine="0"/>
      </w:pPr>
      <w:rPr>
        <w:rFonts w:hint="default"/>
      </w:rPr>
    </w:lvl>
    <w:lvl w:ilvl="3" w:tentative="0">
      <w:start w:val="1"/>
      <w:numFmt w:val="decimal"/>
      <w:suff w:val="space"/>
      <w:lvlText w:val="%1.%2.%3.%4"/>
      <w:lvlJc w:val="left"/>
      <w:pPr>
        <w:ind w:left="0" w:firstLine="0"/>
      </w:pPr>
      <w:rPr>
        <w:rFonts w:hint="default" w:ascii="宋体" w:hAnsi="宋体" w:eastAsia="宋体" w:cs="宋体"/>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29C05DF3"/>
    <w:multiLevelType w:val="multilevel"/>
    <w:tmpl w:val="29C05DF3"/>
    <w:lvl w:ilvl="0" w:tentative="0">
      <w:start w:val="4"/>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ascii="黑体" w:hAnsi="黑体" w:eastAsia="黑体"/>
        <w:color w:val="auto"/>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ascii="宋体" w:hAnsi="宋体" w:eastAsia="宋体" w:cs="宋体"/>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43DE53CB"/>
    <w:multiLevelType w:val="multilevel"/>
    <w:tmpl w:val="43DE53CB"/>
    <w:lvl w:ilvl="0" w:tentative="0">
      <w:start w:val="1"/>
      <w:numFmt w:val="decimal"/>
      <w:pStyle w:val="2"/>
      <w:suff w:val="space"/>
      <w:lvlText w:val="%1 "/>
      <w:lvlJc w:val="left"/>
      <w:pPr>
        <w:ind w:left="0" w:firstLine="0"/>
      </w:pPr>
      <w:rPr>
        <w:rFonts w:hint="eastAsia" w:ascii="黑体" w:hAnsi="黑体" w:eastAsia="黑体"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20"/>
      <w:suff w:val="space"/>
      <w:lvlText w:val="%1.%2"/>
      <w:lvlJc w:val="left"/>
      <w:pPr>
        <w:ind w:left="0" w:firstLine="0"/>
      </w:pPr>
      <w:rPr>
        <w:rFonts w:hint="eastAsia" w:ascii="黑体" w:hAnsi="黑体" w:eastAsia="黑体"/>
      </w:rPr>
    </w:lvl>
    <w:lvl w:ilvl="2" w:tentative="0">
      <w:start w:val="1"/>
      <w:numFmt w:val="decimal"/>
      <w:pStyle w:val="22"/>
      <w:suff w:val="space"/>
      <w:lvlText w:val="%1.%2.%3"/>
      <w:lvlJc w:val="left"/>
      <w:pPr>
        <w:ind w:left="0" w:firstLine="0"/>
      </w:pPr>
      <w:rPr>
        <w:rFonts w:hint="default" w:ascii="黑体" w:hAnsi="黑体" w:eastAsia="黑体" w:cs="Times New Roman"/>
      </w:rPr>
    </w:lvl>
    <w:lvl w:ilvl="3" w:tentative="0">
      <w:start w:val="1"/>
      <w:numFmt w:val="decimal"/>
      <w:pStyle w:val="21"/>
      <w:suff w:val="space"/>
      <w:lvlText w:val="%1.%2.%3.%4"/>
      <w:lvlJc w:val="left"/>
      <w:pPr>
        <w:ind w:left="0" w:firstLine="0"/>
      </w:pPr>
      <w:rPr>
        <w:rFonts w:hint="eastAsia" w:ascii="黑体" w:hAnsi="黑体" w:cs="Times New Roman"/>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5B186054"/>
    <w:multiLevelType w:val="multilevel"/>
    <w:tmpl w:val="5B186054"/>
    <w:lvl w:ilvl="0" w:tentative="0">
      <w:start w:val="2"/>
      <w:numFmt w:val="decimal"/>
      <w:suff w:val="space"/>
      <w:lvlText w:val="%1"/>
      <w:lvlJc w:val="left"/>
      <w:pPr>
        <w:ind w:left="0" w:firstLine="0"/>
      </w:pPr>
      <w:rPr>
        <w:rFonts w:hint="default"/>
      </w:rPr>
    </w:lvl>
    <w:lvl w:ilvl="1" w:tentative="0">
      <w:start w:val="0"/>
      <w:numFmt w:val="decimal"/>
      <w:suff w:val="space"/>
      <w:lvlText w:val="%1.%2"/>
      <w:lvlJc w:val="left"/>
      <w:pPr>
        <w:ind w:left="0" w:firstLine="0"/>
      </w:pPr>
      <w:rPr>
        <w:rFonts w:hint="default"/>
        <w:color w:val="FFFFFF" w:themeColor="background1"/>
        <w14:textFill>
          <w14:solidFill>
            <w14:schemeClr w14:val="bg1"/>
          </w14:solidFill>
        </w14:textFill>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ascii="宋体" w:hAnsi="宋体" w:eastAsia="宋体" w:cs="宋体"/>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6">
    <w:nsid w:val="6B3E6F19"/>
    <w:multiLevelType w:val="multilevel"/>
    <w:tmpl w:val="6B3E6F1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16617FD"/>
    <w:multiLevelType w:val="multilevel"/>
    <w:tmpl w:val="716617F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0"/>
  </w:num>
  <w:num w:numId="3">
    <w:abstractNumId w:val="1"/>
  </w:num>
  <w:num w:numId="4">
    <w:abstractNumId w:val="5"/>
  </w:num>
  <w:num w:numId="5">
    <w:abstractNumId w:val="3"/>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CF1"/>
    <w:rsid w:val="00002151"/>
    <w:rsid w:val="00013840"/>
    <w:rsid w:val="0005005A"/>
    <w:rsid w:val="001240EB"/>
    <w:rsid w:val="00134D21"/>
    <w:rsid w:val="00171B92"/>
    <w:rsid w:val="0017611A"/>
    <w:rsid w:val="002542A7"/>
    <w:rsid w:val="00257044"/>
    <w:rsid w:val="002B6923"/>
    <w:rsid w:val="002B7FCC"/>
    <w:rsid w:val="00301C70"/>
    <w:rsid w:val="00306747"/>
    <w:rsid w:val="003162D6"/>
    <w:rsid w:val="00331123"/>
    <w:rsid w:val="00382550"/>
    <w:rsid w:val="003A15AB"/>
    <w:rsid w:val="003D565F"/>
    <w:rsid w:val="0041148E"/>
    <w:rsid w:val="00424768"/>
    <w:rsid w:val="0043220B"/>
    <w:rsid w:val="004F223E"/>
    <w:rsid w:val="00501539"/>
    <w:rsid w:val="0051756D"/>
    <w:rsid w:val="005520E5"/>
    <w:rsid w:val="005941D2"/>
    <w:rsid w:val="00594D29"/>
    <w:rsid w:val="005A020A"/>
    <w:rsid w:val="005C7082"/>
    <w:rsid w:val="005D33F3"/>
    <w:rsid w:val="005F08AF"/>
    <w:rsid w:val="0064750C"/>
    <w:rsid w:val="00651881"/>
    <w:rsid w:val="00664255"/>
    <w:rsid w:val="00680B20"/>
    <w:rsid w:val="006B4EB5"/>
    <w:rsid w:val="006F05AB"/>
    <w:rsid w:val="007016AB"/>
    <w:rsid w:val="00703D59"/>
    <w:rsid w:val="007407BC"/>
    <w:rsid w:val="0076765E"/>
    <w:rsid w:val="007D1E9C"/>
    <w:rsid w:val="007D6435"/>
    <w:rsid w:val="00843271"/>
    <w:rsid w:val="0087167F"/>
    <w:rsid w:val="00884AA6"/>
    <w:rsid w:val="00894456"/>
    <w:rsid w:val="008B3F3C"/>
    <w:rsid w:val="00900545"/>
    <w:rsid w:val="00920B8A"/>
    <w:rsid w:val="009E323A"/>
    <w:rsid w:val="00A02B12"/>
    <w:rsid w:val="00A6246C"/>
    <w:rsid w:val="00A64B78"/>
    <w:rsid w:val="00A80627"/>
    <w:rsid w:val="00AD597A"/>
    <w:rsid w:val="00B167AD"/>
    <w:rsid w:val="00B25AAE"/>
    <w:rsid w:val="00B54D49"/>
    <w:rsid w:val="00BB6EE2"/>
    <w:rsid w:val="00BF706B"/>
    <w:rsid w:val="00C03CAC"/>
    <w:rsid w:val="00C10719"/>
    <w:rsid w:val="00C13B8A"/>
    <w:rsid w:val="00C57EBB"/>
    <w:rsid w:val="00C91276"/>
    <w:rsid w:val="00D22177"/>
    <w:rsid w:val="00D23FD8"/>
    <w:rsid w:val="00D5063D"/>
    <w:rsid w:val="00D57384"/>
    <w:rsid w:val="00D8662F"/>
    <w:rsid w:val="00D95268"/>
    <w:rsid w:val="00D978A9"/>
    <w:rsid w:val="00DA45F8"/>
    <w:rsid w:val="00DB3EC1"/>
    <w:rsid w:val="00DC43EC"/>
    <w:rsid w:val="00DD4D46"/>
    <w:rsid w:val="00DE5A24"/>
    <w:rsid w:val="00E0770D"/>
    <w:rsid w:val="00E20137"/>
    <w:rsid w:val="00E30D70"/>
    <w:rsid w:val="00E3610E"/>
    <w:rsid w:val="00EA7809"/>
    <w:rsid w:val="00EB7E60"/>
    <w:rsid w:val="00EE2D7B"/>
    <w:rsid w:val="00F04AB0"/>
    <w:rsid w:val="00F2750A"/>
    <w:rsid w:val="00F45958"/>
    <w:rsid w:val="00FA3FC5"/>
    <w:rsid w:val="00FB4010"/>
    <w:rsid w:val="00FF0CF1"/>
    <w:rsid w:val="00FF2187"/>
    <w:rsid w:val="010007F8"/>
    <w:rsid w:val="010154FC"/>
    <w:rsid w:val="010D7940"/>
    <w:rsid w:val="01275343"/>
    <w:rsid w:val="012A2737"/>
    <w:rsid w:val="012E34F5"/>
    <w:rsid w:val="0130513F"/>
    <w:rsid w:val="013D072A"/>
    <w:rsid w:val="014560A3"/>
    <w:rsid w:val="014C4DA3"/>
    <w:rsid w:val="01767A65"/>
    <w:rsid w:val="017B2310"/>
    <w:rsid w:val="01877B89"/>
    <w:rsid w:val="01917E07"/>
    <w:rsid w:val="01A87AFF"/>
    <w:rsid w:val="01C96111"/>
    <w:rsid w:val="01FD7E4B"/>
    <w:rsid w:val="02104A5E"/>
    <w:rsid w:val="022640A6"/>
    <w:rsid w:val="022644B1"/>
    <w:rsid w:val="023E7458"/>
    <w:rsid w:val="02435F95"/>
    <w:rsid w:val="0256755B"/>
    <w:rsid w:val="0270686F"/>
    <w:rsid w:val="027A1EC5"/>
    <w:rsid w:val="028916DF"/>
    <w:rsid w:val="028930C1"/>
    <w:rsid w:val="028B36A9"/>
    <w:rsid w:val="02941DE2"/>
    <w:rsid w:val="0295277A"/>
    <w:rsid w:val="02B34E5A"/>
    <w:rsid w:val="02B6521B"/>
    <w:rsid w:val="02BE1DDB"/>
    <w:rsid w:val="02BF09F6"/>
    <w:rsid w:val="02C0419E"/>
    <w:rsid w:val="02CA7A5C"/>
    <w:rsid w:val="02CC2605"/>
    <w:rsid w:val="02ED4D4B"/>
    <w:rsid w:val="02FC6355"/>
    <w:rsid w:val="03157416"/>
    <w:rsid w:val="031A67DB"/>
    <w:rsid w:val="03337D64"/>
    <w:rsid w:val="0337473C"/>
    <w:rsid w:val="033D45F1"/>
    <w:rsid w:val="034A1B03"/>
    <w:rsid w:val="03522419"/>
    <w:rsid w:val="03561DA1"/>
    <w:rsid w:val="0367590E"/>
    <w:rsid w:val="03675EC4"/>
    <w:rsid w:val="037E0FBE"/>
    <w:rsid w:val="03846200"/>
    <w:rsid w:val="03972045"/>
    <w:rsid w:val="039828BC"/>
    <w:rsid w:val="039D7B38"/>
    <w:rsid w:val="03A0078D"/>
    <w:rsid w:val="03B95FF4"/>
    <w:rsid w:val="03C56ED3"/>
    <w:rsid w:val="03D472D2"/>
    <w:rsid w:val="03E91D57"/>
    <w:rsid w:val="04063F73"/>
    <w:rsid w:val="04141B0C"/>
    <w:rsid w:val="0425794B"/>
    <w:rsid w:val="04357DD8"/>
    <w:rsid w:val="04463D2B"/>
    <w:rsid w:val="045E0ECA"/>
    <w:rsid w:val="048760F2"/>
    <w:rsid w:val="048A4AF7"/>
    <w:rsid w:val="048D65BC"/>
    <w:rsid w:val="04AB3E92"/>
    <w:rsid w:val="04B33D4E"/>
    <w:rsid w:val="04BC5D9C"/>
    <w:rsid w:val="04C5429F"/>
    <w:rsid w:val="04D4593D"/>
    <w:rsid w:val="04DD5D12"/>
    <w:rsid w:val="04DF4E71"/>
    <w:rsid w:val="04E76342"/>
    <w:rsid w:val="04EB00EA"/>
    <w:rsid w:val="04ED064B"/>
    <w:rsid w:val="04FF60B6"/>
    <w:rsid w:val="051F632A"/>
    <w:rsid w:val="05205C48"/>
    <w:rsid w:val="053268D1"/>
    <w:rsid w:val="05535087"/>
    <w:rsid w:val="05591F26"/>
    <w:rsid w:val="057051D0"/>
    <w:rsid w:val="057422F2"/>
    <w:rsid w:val="058415BE"/>
    <w:rsid w:val="059960DD"/>
    <w:rsid w:val="05B41169"/>
    <w:rsid w:val="05BA1959"/>
    <w:rsid w:val="05BE7628"/>
    <w:rsid w:val="05D51791"/>
    <w:rsid w:val="06276F5E"/>
    <w:rsid w:val="063E0A32"/>
    <w:rsid w:val="06457980"/>
    <w:rsid w:val="06530828"/>
    <w:rsid w:val="066F0D74"/>
    <w:rsid w:val="068C3E93"/>
    <w:rsid w:val="069E4C21"/>
    <w:rsid w:val="06AD6F44"/>
    <w:rsid w:val="06CD50FF"/>
    <w:rsid w:val="07011F06"/>
    <w:rsid w:val="0708176C"/>
    <w:rsid w:val="071C2D76"/>
    <w:rsid w:val="07285822"/>
    <w:rsid w:val="073562D9"/>
    <w:rsid w:val="07532ADA"/>
    <w:rsid w:val="075449B1"/>
    <w:rsid w:val="077A2021"/>
    <w:rsid w:val="078F1606"/>
    <w:rsid w:val="079E79DA"/>
    <w:rsid w:val="07C03DF5"/>
    <w:rsid w:val="07DE011C"/>
    <w:rsid w:val="07E82CB7"/>
    <w:rsid w:val="08057A5A"/>
    <w:rsid w:val="082B14E8"/>
    <w:rsid w:val="082B6C5C"/>
    <w:rsid w:val="082C3238"/>
    <w:rsid w:val="084707E7"/>
    <w:rsid w:val="08700C85"/>
    <w:rsid w:val="0879200D"/>
    <w:rsid w:val="08810977"/>
    <w:rsid w:val="08A454C4"/>
    <w:rsid w:val="08AD522F"/>
    <w:rsid w:val="08B96736"/>
    <w:rsid w:val="08EC6031"/>
    <w:rsid w:val="08ED3A17"/>
    <w:rsid w:val="0901308D"/>
    <w:rsid w:val="09022AA6"/>
    <w:rsid w:val="09166016"/>
    <w:rsid w:val="091D7025"/>
    <w:rsid w:val="0926237D"/>
    <w:rsid w:val="09276410"/>
    <w:rsid w:val="096E162E"/>
    <w:rsid w:val="09821792"/>
    <w:rsid w:val="099B06F2"/>
    <w:rsid w:val="09B43883"/>
    <w:rsid w:val="09B84790"/>
    <w:rsid w:val="09C4354D"/>
    <w:rsid w:val="09C87300"/>
    <w:rsid w:val="09C921D3"/>
    <w:rsid w:val="09D004B8"/>
    <w:rsid w:val="09DA0E3C"/>
    <w:rsid w:val="0A196287"/>
    <w:rsid w:val="0A216D3B"/>
    <w:rsid w:val="0A29748A"/>
    <w:rsid w:val="0A442795"/>
    <w:rsid w:val="0A57785A"/>
    <w:rsid w:val="0A5C6804"/>
    <w:rsid w:val="0A670869"/>
    <w:rsid w:val="0A6E23B9"/>
    <w:rsid w:val="0A740813"/>
    <w:rsid w:val="0A773F88"/>
    <w:rsid w:val="0A7743FB"/>
    <w:rsid w:val="0A8B5655"/>
    <w:rsid w:val="0A8D0078"/>
    <w:rsid w:val="0AA94399"/>
    <w:rsid w:val="0AC7266C"/>
    <w:rsid w:val="0AD84D49"/>
    <w:rsid w:val="0AE71676"/>
    <w:rsid w:val="0AFB0EE1"/>
    <w:rsid w:val="0B0264D2"/>
    <w:rsid w:val="0B031002"/>
    <w:rsid w:val="0B0C73F9"/>
    <w:rsid w:val="0B1C4C9D"/>
    <w:rsid w:val="0B260413"/>
    <w:rsid w:val="0B34773F"/>
    <w:rsid w:val="0B35054F"/>
    <w:rsid w:val="0B3B189A"/>
    <w:rsid w:val="0B41349E"/>
    <w:rsid w:val="0B425A17"/>
    <w:rsid w:val="0B431562"/>
    <w:rsid w:val="0B57338B"/>
    <w:rsid w:val="0B762364"/>
    <w:rsid w:val="0B76450E"/>
    <w:rsid w:val="0B7849E6"/>
    <w:rsid w:val="0B7D062B"/>
    <w:rsid w:val="0B7D1FFD"/>
    <w:rsid w:val="0B85224E"/>
    <w:rsid w:val="0B901D30"/>
    <w:rsid w:val="0B9C5BE3"/>
    <w:rsid w:val="0BA21AEF"/>
    <w:rsid w:val="0BA63302"/>
    <w:rsid w:val="0BBF6171"/>
    <w:rsid w:val="0BC109E1"/>
    <w:rsid w:val="0BD27E51"/>
    <w:rsid w:val="0BDC31C7"/>
    <w:rsid w:val="0BF35974"/>
    <w:rsid w:val="0C023046"/>
    <w:rsid w:val="0C023F22"/>
    <w:rsid w:val="0C147372"/>
    <w:rsid w:val="0C2039A7"/>
    <w:rsid w:val="0C2103CD"/>
    <w:rsid w:val="0C2B1598"/>
    <w:rsid w:val="0C2F1785"/>
    <w:rsid w:val="0C3B7E4F"/>
    <w:rsid w:val="0C3C2558"/>
    <w:rsid w:val="0C497CBB"/>
    <w:rsid w:val="0C4A0131"/>
    <w:rsid w:val="0C5726B8"/>
    <w:rsid w:val="0C5913CB"/>
    <w:rsid w:val="0C5E1E2E"/>
    <w:rsid w:val="0C772EBD"/>
    <w:rsid w:val="0C9308B1"/>
    <w:rsid w:val="0CA21460"/>
    <w:rsid w:val="0CCC6D98"/>
    <w:rsid w:val="0CD10FA3"/>
    <w:rsid w:val="0CD12600"/>
    <w:rsid w:val="0CDC2D8C"/>
    <w:rsid w:val="0CFF53BF"/>
    <w:rsid w:val="0D0504FC"/>
    <w:rsid w:val="0D074274"/>
    <w:rsid w:val="0D093B48"/>
    <w:rsid w:val="0D0E2299"/>
    <w:rsid w:val="0D1C799E"/>
    <w:rsid w:val="0D4976D2"/>
    <w:rsid w:val="0D710CA8"/>
    <w:rsid w:val="0D8776DF"/>
    <w:rsid w:val="0D98311E"/>
    <w:rsid w:val="0D9C2D55"/>
    <w:rsid w:val="0DA63A8D"/>
    <w:rsid w:val="0DB27BCF"/>
    <w:rsid w:val="0DC722C4"/>
    <w:rsid w:val="0DCC6AF1"/>
    <w:rsid w:val="0DD00B0A"/>
    <w:rsid w:val="0DD529BC"/>
    <w:rsid w:val="0DE63E89"/>
    <w:rsid w:val="0DEC2260"/>
    <w:rsid w:val="0E074F83"/>
    <w:rsid w:val="0E356818"/>
    <w:rsid w:val="0E580F22"/>
    <w:rsid w:val="0E59084C"/>
    <w:rsid w:val="0E5C6BD8"/>
    <w:rsid w:val="0E6A2414"/>
    <w:rsid w:val="0E6B77BE"/>
    <w:rsid w:val="0E6D468C"/>
    <w:rsid w:val="0E9438E5"/>
    <w:rsid w:val="0EA40895"/>
    <w:rsid w:val="0EB67D00"/>
    <w:rsid w:val="0ED15A8B"/>
    <w:rsid w:val="0ED34DB5"/>
    <w:rsid w:val="0EE20AF5"/>
    <w:rsid w:val="0EEF4FBF"/>
    <w:rsid w:val="0F196A76"/>
    <w:rsid w:val="0F557518"/>
    <w:rsid w:val="0F6C183F"/>
    <w:rsid w:val="0F7178C0"/>
    <w:rsid w:val="0F7D6A65"/>
    <w:rsid w:val="0F8110A9"/>
    <w:rsid w:val="0F912C84"/>
    <w:rsid w:val="0F953DB9"/>
    <w:rsid w:val="0FDF3327"/>
    <w:rsid w:val="0FE44CC5"/>
    <w:rsid w:val="0FE61C4A"/>
    <w:rsid w:val="0FE625E5"/>
    <w:rsid w:val="0FF3579C"/>
    <w:rsid w:val="101E7BF6"/>
    <w:rsid w:val="10270CA8"/>
    <w:rsid w:val="10301C6A"/>
    <w:rsid w:val="10336D78"/>
    <w:rsid w:val="1052351D"/>
    <w:rsid w:val="105E41AB"/>
    <w:rsid w:val="105E41E9"/>
    <w:rsid w:val="10692839"/>
    <w:rsid w:val="10921797"/>
    <w:rsid w:val="109E0A4B"/>
    <w:rsid w:val="10BB1A44"/>
    <w:rsid w:val="10CB29C9"/>
    <w:rsid w:val="10DE3813"/>
    <w:rsid w:val="10DE713B"/>
    <w:rsid w:val="10E31C02"/>
    <w:rsid w:val="110A4472"/>
    <w:rsid w:val="110B0FBB"/>
    <w:rsid w:val="1120103B"/>
    <w:rsid w:val="112847B9"/>
    <w:rsid w:val="11286567"/>
    <w:rsid w:val="113C18AF"/>
    <w:rsid w:val="113E3FDC"/>
    <w:rsid w:val="116E2B13"/>
    <w:rsid w:val="11B8538D"/>
    <w:rsid w:val="11BD75F7"/>
    <w:rsid w:val="11C7144F"/>
    <w:rsid w:val="11C72224"/>
    <w:rsid w:val="11CC3396"/>
    <w:rsid w:val="11CE5360"/>
    <w:rsid w:val="11CF3712"/>
    <w:rsid w:val="11EB7CC0"/>
    <w:rsid w:val="1209175C"/>
    <w:rsid w:val="121429E2"/>
    <w:rsid w:val="1241757A"/>
    <w:rsid w:val="12435D4E"/>
    <w:rsid w:val="127910F0"/>
    <w:rsid w:val="127E0B34"/>
    <w:rsid w:val="12837EF9"/>
    <w:rsid w:val="128469D4"/>
    <w:rsid w:val="12850115"/>
    <w:rsid w:val="129C6977"/>
    <w:rsid w:val="12AD65CC"/>
    <w:rsid w:val="12B666B3"/>
    <w:rsid w:val="12CA5EC5"/>
    <w:rsid w:val="12CF75E2"/>
    <w:rsid w:val="12DE3E97"/>
    <w:rsid w:val="12E3308D"/>
    <w:rsid w:val="133E02C4"/>
    <w:rsid w:val="136E6DFB"/>
    <w:rsid w:val="1377657B"/>
    <w:rsid w:val="13912AE9"/>
    <w:rsid w:val="13971B85"/>
    <w:rsid w:val="139C4F7D"/>
    <w:rsid w:val="139D6CAC"/>
    <w:rsid w:val="13B15F5E"/>
    <w:rsid w:val="13CB7DA9"/>
    <w:rsid w:val="13D043CB"/>
    <w:rsid w:val="13E470BD"/>
    <w:rsid w:val="13E81D8D"/>
    <w:rsid w:val="13ED79AC"/>
    <w:rsid w:val="141D25CF"/>
    <w:rsid w:val="14466CCE"/>
    <w:rsid w:val="1454351F"/>
    <w:rsid w:val="147316DF"/>
    <w:rsid w:val="147F3790"/>
    <w:rsid w:val="148F6841"/>
    <w:rsid w:val="14953619"/>
    <w:rsid w:val="14B57BA1"/>
    <w:rsid w:val="14C3372E"/>
    <w:rsid w:val="14D357E4"/>
    <w:rsid w:val="14EB2147"/>
    <w:rsid w:val="150E57A6"/>
    <w:rsid w:val="151237B6"/>
    <w:rsid w:val="15130B9B"/>
    <w:rsid w:val="15145780"/>
    <w:rsid w:val="1520514E"/>
    <w:rsid w:val="15535828"/>
    <w:rsid w:val="15554079"/>
    <w:rsid w:val="155D3674"/>
    <w:rsid w:val="15657D89"/>
    <w:rsid w:val="1585124C"/>
    <w:rsid w:val="15966E1B"/>
    <w:rsid w:val="15C54CCC"/>
    <w:rsid w:val="15CA22E2"/>
    <w:rsid w:val="15CF515F"/>
    <w:rsid w:val="15F073F2"/>
    <w:rsid w:val="1602637A"/>
    <w:rsid w:val="160564DD"/>
    <w:rsid w:val="16161084"/>
    <w:rsid w:val="161B669A"/>
    <w:rsid w:val="162353F1"/>
    <w:rsid w:val="1630551D"/>
    <w:rsid w:val="16361726"/>
    <w:rsid w:val="1638549E"/>
    <w:rsid w:val="16465E0D"/>
    <w:rsid w:val="166D2D83"/>
    <w:rsid w:val="16774D8A"/>
    <w:rsid w:val="16797F27"/>
    <w:rsid w:val="167C46E1"/>
    <w:rsid w:val="168D6D92"/>
    <w:rsid w:val="16AE40A5"/>
    <w:rsid w:val="16B234A2"/>
    <w:rsid w:val="16C13F97"/>
    <w:rsid w:val="16D52CED"/>
    <w:rsid w:val="16DF2ECB"/>
    <w:rsid w:val="16EF5EF5"/>
    <w:rsid w:val="16F72C63"/>
    <w:rsid w:val="170D47FA"/>
    <w:rsid w:val="170E2A2D"/>
    <w:rsid w:val="1720040C"/>
    <w:rsid w:val="17312619"/>
    <w:rsid w:val="17326391"/>
    <w:rsid w:val="173B3498"/>
    <w:rsid w:val="174B480B"/>
    <w:rsid w:val="17580CE6"/>
    <w:rsid w:val="176A36AC"/>
    <w:rsid w:val="17712A16"/>
    <w:rsid w:val="17C0574B"/>
    <w:rsid w:val="17C73C03"/>
    <w:rsid w:val="17E8434C"/>
    <w:rsid w:val="17EC1E4F"/>
    <w:rsid w:val="17EF1044"/>
    <w:rsid w:val="18001FEB"/>
    <w:rsid w:val="1800215D"/>
    <w:rsid w:val="18073679"/>
    <w:rsid w:val="180F72FB"/>
    <w:rsid w:val="18152688"/>
    <w:rsid w:val="18187335"/>
    <w:rsid w:val="182F0C36"/>
    <w:rsid w:val="18300B23"/>
    <w:rsid w:val="18410414"/>
    <w:rsid w:val="186F1A1D"/>
    <w:rsid w:val="18770500"/>
    <w:rsid w:val="188531DD"/>
    <w:rsid w:val="1890336F"/>
    <w:rsid w:val="18931861"/>
    <w:rsid w:val="18A14E62"/>
    <w:rsid w:val="18AF0487"/>
    <w:rsid w:val="18AF5EEB"/>
    <w:rsid w:val="18B232E6"/>
    <w:rsid w:val="18C64FE3"/>
    <w:rsid w:val="18CD0097"/>
    <w:rsid w:val="19031A95"/>
    <w:rsid w:val="190D3476"/>
    <w:rsid w:val="19140AE0"/>
    <w:rsid w:val="19227B66"/>
    <w:rsid w:val="192309A1"/>
    <w:rsid w:val="192E082F"/>
    <w:rsid w:val="19420C68"/>
    <w:rsid w:val="194859F8"/>
    <w:rsid w:val="19581410"/>
    <w:rsid w:val="195E16BF"/>
    <w:rsid w:val="195E521C"/>
    <w:rsid w:val="19762565"/>
    <w:rsid w:val="197B0068"/>
    <w:rsid w:val="197F4B9D"/>
    <w:rsid w:val="1997496B"/>
    <w:rsid w:val="199B0C1D"/>
    <w:rsid w:val="19A23527"/>
    <w:rsid w:val="19DA170E"/>
    <w:rsid w:val="19F4171A"/>
    <w:rsid w:val="1A167DBD"/>
    <w:rsid w:val="1A2C531A"/>
    <w:rsid w:val="1A4408B5"/>
    <w:rsid w:val="1A507032"/>
    <w:rsid w:val="1A5A76DD"/>
    <w:rsid w:val="1A623029"/>
    <w:rsid w:val="1A692CB0"/>
    <w:rsid w:val="1A766D5D"/>
    <w:rsid w:val="1A8214B4"/>
    <w:rsid w:val="1A941514"/>
    <w:rsid w:val="1AA41354"/>
    <w:rsid w:val="1AC13CB4"/>
    <w:rsid w:val="1ACA121D"/>
    <w:rsid w:val="1ADC34A2"/>
    <w:rsid w:val="1AEE5A84"/>
    <w:rsid w:val="1AFF1C55"/>
    <w:rsid w:val="1B0E6698"/>
    <w:rsid w:val="1B12510F"/>
    <w:rsid w:val="1B320932"/>
    <w:rsid w:val="1B39643B"/>
    <w:rsid w:val="1B7E6608"/>
    <w:rsid w:val="1B986AEA"/>
    <w:rsid w:val="1BA86B8C"/>
    <w:rsid w:val="1BB25120"/>
    <w:rsid w:val="1BC577D4"/>
    <w:rsid w:val="1BCC553F"/>
    <w:rsid w:val="1BDC4539"/>
    <w:rsid w:val="1BE37C5A"/>
    <w:rsid w:val="1BEC50EF"/>
    <w:rsid w:val="1C0B60CD"/>
    <w:rsid w:val="1C0D29DC"/>
    <w:rsid w:val="1C0F0A4F"/>
    <w:rsid w:val="1C1C7590"/>
    <w:rsid w:val="1C2344FA"/>
    <w:rsid w:val="1C316C17"/>
    <w:rsid w:val="1C363D39"/>
    <w:rsid w:val="1C7D53D6"/>
    <w:rsid w:val="1C823EBE"/>
    <w:rsid w:val="1C8973D8"/>
    <w:rsid w:val="1C931680"/>
    <w:rsid w:val="1C9C4F66"/>
    <w:rsid w:val="1CA70C88"/>
    <w:rsid w:val="1CB27203"/>
    <w:rsid w:val="1CC747D5"/>
    <w:rsid w:val="1CDB1039"/>
    <w:rsid w:val="1CEA2808"/>
    <w:rsid w:val="1CEA2986"/>
    <w:rsid w:val="1CF0370C"/>
    <w:rsid w:val="1CFD541C"/>
    <w:rsid w:val="1D103D41"/>
    <w:rsid w:val="1D1F2F14"/>
    <w:rsid w:val="1D332323"/>
    <w:rsid w:val="1D3A4BE6"/>
    <w:rsid w:val="1D3E3838"/>
    <w:rsid w:val="1D516B39"/>
    <w:rsid w:val="1D6D0B59"/>
    <w:rsid w:val="1D7C3EC2"/>
    <w:rsid w:val="1D7F39B2"/>
    <w:rsid w:val="1D81192F"/>
    <w:rsid w:val="1D822B4B"/>
    <w:rsid w:val="1DA13929"/>
    <w:rsid w:val="1DA5166B"/>
    <w:rsid w:val="1DB40A0D"/>
    <w:rsid w:val="1DC45B80"/>
    <w:rsid w:val="1DC6338F"/>
    <w:rsid w:val="1DED3F39"/>
    <w:rsid w:val="1DF111DE"/>
    <w:rsid w:val="1DFF0843"/>
    <w:rsid w:val="1E0B672B"/>
    <w:rsid w:val="1E2727C7"/>
    <w:rsid w:val="1E285EE3"/>
    <w:rsid w:val="1E293BA7"/>
    <w:rsid w:val="1E370777"/>
    <w:rsid w:val="1E3B1043"/>
    <w:rsid w:val="1E3B16F7"/>
    <w:rsid w:val="1E4064C8"/>
    <w:rsid w:val="1E4404BD"/>
    <w:rsid w:val="1E60068A"/>
    <w:rsid w:val="1E7E3C6A"/>
    <w:rsid w:val="1E940A02"/>
    <w:rsid w:val="1E9B0CC0"/>
    <w:rsid w:val="1EB06519"/>
    <w:rsid w:val="1EBD1794"/>
    <w:rsid w:val="1EC41FC5"/>
    <w:rsid w:val="1EC561E2"/>
    <w:rsid w:val="1ECC0E79"/>
    <w:rsid w:val="1EE211F4"/>
    <w:rsid w:val="1EE912A2"/>
    <w:rsid w:val="1EED1DDA"/>
    <w:rsid w:val="1F0C4A17"/>
    <w:rsid w:val="1F234ACD"/>
    <w:rsid w:val="1F290734"/>
    <w:rsid w:val="1F3B5976"/>
    <w:rsid w:val="1F5F1060"/>
    <w:rsid w:val="1F872FC8"/>
    <w:rsid w:val="1F9F2C59"/>
    <w:rsid w:val="1FB20F31"/>
    <w:rsid w:val="1FB55AE0"/>
    <w:rsid w:val="1FDA1374"/>
    <w:rsid w:val="1FE459CA"/>
    <w:rsid w:val="1FE521F3"/>
    <w:rsid w:val="1FF8742C"/>
    <w:rsid w:val="1FF932E6"/>
    <w:rsid w:val="200D4B8D"/>
    <w:rsid w:val="200D799B"/>
    <w:rsid w:val="20166850"/>
    <w:rsid w:val="20181590"/>
    <w:rsid w:val="201B5C14"/>
    <w:rsid w:val="20385E45"/>
    <w:rsid w:val="20390D99"/>
    <w:rsid w:val="203E57DE"/>
    <w:rsid w:val="20564E9E"/>
    <w:rsid w:val="20874AE8"/>
    <w:rsid w:val="209C182C"/>
    <w:rsid w:val="209E7F91"/>
    <w:rsid w:val="209F0D3E"/>
    <w:rsid w:val="20B147CB"/>
    <w:rsid w:val="20C52ED3"/>
    <w:rsid w:val="20D16417"/>
    <w:rsid w:val="20D64AB2"/>
    <w:rsid w:val="20E22BD6"/>
    <w:rsid w:val="20F66ADC"/>
    <w:rsid w:val="210B5E71"/>
    <w:rsid w:val="21110DC5"/>
    <w:rsid w:val="21116859"/>
    <w:rsid w:val="21117017"/>
    <w:rsid w:val="2120725A"/>
    <w:rsid w:val="21254871"/>
    <w:rsid w:val="2127029B"/>
    <w:rsid w:val="213A188C"/>
    <w:rsid w:val="214E69CF"/>
    <w:rsid w:val="21617F9F"/>
    <w:rsid w:val="216339A1"/>
    <w:rsid w:val="217C0935"/>
    <w:rsid w:val="218B2D67"/>
    <w:rsid w:val="218F6757"/>
    <w:rsid w:val="21A05FB2"/>
    <w:rsid w:val="21AD5E2D"/>
    <w:rsid w:val="21AF6BB6"/>
    <w:rsid w:val="21B221D4"/>
    <w:rsid w:val="21C848C9"/>
    <w:rsid w:val="21C85928"/>
    <w:rsid w:val="21CC3202"/>
    <w:rsid w:val="21D443BD"/>
    <w:rsid w:val="21E5448C"/>
    <w:rsid w:val="21E5472C"/>
    <w:rsid w:val="21FD6A0F"/>
    <w:rsid w:val="220425CD"/>
    <w:rsid w:val="220B1D39"/>
    <w:rsid w:val="221E379A"/>
    <w:rsid w:val="22256192"/>
    <w:rsid w:val="222B5F5F"/>
    <w:rsid w:val="22347461"/>
    <w:rsid w:val="22403812"/>
    <w:rsid w:val="22587046"/>
    <w:rsid w:val="22601FCB"/>
    <w:rsid w:val="228D0920"/>
    <w:rsid w:val="228E63B8"/>
    <w:rsid w:val="229B4A79"/>
    <w:rsid w:val="229C358D"/>
    <w:rsid w:val="22A55C69"/>
    <w:rsid w:val="22B759DD"/>
    <w:rsid w:val="22C2243A"/>
    <w:rsid w:val="23205935"/>
    <w:rsid w:val="23312FE9"/>
    <w:rsid w:val="233B1741"/>
    <w:rsid w:val="2341442B"/>
    <w:rsid w:val="234D3293"/>
    <w:rsid w:val="235A6A54"/>
    <w:rsid w:val="235F5D48"/>
    <w:rsid w:val="23667577"/>
    <w:rsid w:val="236E69A3"/>
    <w:rsid w:val="23972BD3"/>
    <w:rsid w:val="239E0A51"/>
    <w:rsid w:val="23A164B1"/>
    <w:rsid w:val="23A75A2F"/>
    <w:rsid w:val="23B8419B"/>
    <w:rsid w:val="23CB5BA3"/>
    <w:rsid w:val="23D031BA"/>
    <w:rsid w:val="23D57885"/>
    <w:rsid w:val="241267A3"/>
    <w:rsid w:val="242073C1"/>
    <w:rsid w:val="24311EAA"/>
    <w:rsid w:val="2433178D"/>
    <w:rsid w:val="243A7177"/>
    <w:rsid w:val="24452F17"/>
    <w:rsid w:val="245D3D4D"/>
    <w:rsid w:val="246F2569"/>
    <w:rsid w:val="24890271"/>
    <w:rsid w:val="24895F34"/>
    <w:rsid w:val="24B86128"/>
    <w:rsid w:val="24C37C64"/>
    <w:rsid w:val="24CE594B"/>
    <w:rsid w:val="24DD793C"/>
    <w:rsid w:val="24F609FE"/>
    <w:rsid w:val="25227A45"/>
    <w:rsid w:val="25253091"/>
    <w:rsid w:val="25401C79"/>
    <w:rsid w:val="25435F01"/>
    <w:rsid w:val="25460277"/>
    <w:rsid w:val="25502119"/>
    <w:rsid w:val="2557798F"/>
    <w:rsid w:val="25783B09"/>
    <w:rsid w:val="25825FA4"/>
    <w:rsid w:val="25A3709F"/>
    <w:rsid w:val="25AB1FE8"/>
    <w:rsid w:val="25B122B4"/>
    <w:rsid w:val="25C71522"/>
    <w:rsid w:val="25D62F83"/>
    <w:rsid w:val="25E80D1A"/>
    <w:rsid w:val="26084519"/>
    <w:rsid w:val="261B6C90"/>
    <w:rsid w:val="261E7AA8"/>
    <w:rsid w:val="26220951"/>
    <w:rsid w:val="2624595A"/>
    <w:rsid w:val="262B46D7"/>
    <w:rsid w:val="266320C3"/>
    <w:rsid w:val="267D1F64"/>
    <w:rsid w:val="267E4B77"/>
    <w:rsid w:val="26841A09"/>
    <w:rsid w:val="26856EFD"/>
    <w:rsid w:val="268E3354"/>
    <w:rsid w:val="26914F41"/>
    <w:rsid w:val="26EE2B11"/>
    <w:rsid w:val="26FD7606"/>
    <w:rsid w:val="2727416A"/>
    <w:rsid w:val="273B5424"/>
    <w:rsid w:val="274C0DA9"/>
    <w:rsid w:val="275B39B7"/>
    <w:rsid w:val="275D2BA4"/>
    <w:rsid w:val="27730001"/>
    <w:rsid w:val="277858E1"/>
    <w:rsid w:val="278B4973"/>
    <w:rsid w:val="27BC6175"/>
    <w:rsid w:val="27BF172E"/>
    <w:rsid w:val="27CE7A10"/>
    <w:rsid w:val="27DD5269"/>
    <w:rsid w:val="27EA05F9"/>
    <w:rsid w:val="27EE1E04"/>
    <w:rsid w:val="27F7048A"/>
    <w:rsid w:val="280B2A12"/>
    <w:rsid w:val="2829733C"/>
    <w:rsid w:val="282B5A09"/>
    <w:rsid w:val="282F418B"/>
    <w:rsid w:val="28351F7A"/>
    <w:rsid w:val="28377363"/>
    <w:rsid w:val="284E295A"/>
    <w:rsid w:val="285B1E8D"/>
    <w:rsid w:val="288F719F"/>
    <w:rsid w:val="289B3A6A"/>
    <w:rsid w:val="289D1278"/>
    <w:rsid w:val="289E26F2"/>
    <w:rsid w:val="28A51A57"/>
    <w:rsid w:val="28CD5F1A"/>
    <w:rsid w:val="28D266C1"/>
    <w:rsid w:val="28D872C5"/>
    <w:rsid w:val="28EA17C3"/>
    <w:rsid w:val="28F32C6B"/>
    <w:rsid w:val="29053906"/>
    <w:rsid w:val="290A2CCA"/>
    <w:rsid w:val="290C7C35"/>
    <w:rsid w:val="290D038B"/>
    <w:rsid w:val="290D6E6A"/>
    <w:rsid w:val="29183639"/>
    <w:rsid w:val="29247912"/>
    <w:rsid w:val="29290634"/>
    <w:rsid w:val="293900C9"/>
    <w:rsid w:val="293D0509"/>
    <w:rsid w:val="294B7324"/>
    <w:rsid w:val="296A7E25"/>
    <w:rsid w:val="296B6D7E"/>
    <w:rsid w:val="29793519"/>
    <w:rsid w:val="29A44D84"/>
    <w:rsid w:val="29A82436"/>
    <w:rsid w:val="29B561D1"/>
    <w:rsid w:val="29B720EA"/>
    <w:rsid w:val="29BB4B66"/>
    <w:rsid w:val="29D00160"/>
    <w:rsid w:val="29D40493"/>
    <w:rsid w:val="29E832B1"/>
    <w:rsid w:val="29EF6D33"/>
    <w:rsid w:val="2A455D7F"/>
    <w:rsid w:val="2A671F80"/>
    <w:rsid w:val="2AB52E67"/>
    <w:rsid w:val="2AC77DE9"/>
    <w:rsid w:val="2ACB69DB"/>
    <w:rsid w:val="2AD4532F"/>
    <w:rsid w:val="2ADC2444"/>
    <w:rsid w:val="2AEA2DB3"/>
    <w:rsid w:val="2AF459E0"/>
    <w:rsid w:val="2AF47DD1"/>
    <w:rsid w:val="2B083392"/>
    <w:rsid w:val="2B165956"/>
    <w:rsid w:val="2B2B6F28"/>
    <w:rsid w:val="2B3764F8"/>
    <w:rsid w:val="2B485D2C"/>
    <w:rsid w:val="2B563436"/>
    <w:rsid w:val="2B5735E7"/>
    <w:rsid w:val="2B5E079D"/>
    <w:rsid w:val="2B6B6B41"/>
    <w:rsid w:val="2B8D1C65"/>
    <w:rsid w:val="2B983CB1"/>
    <w:rsid w:val="2BA05300"/>
    <w:rsid w:val="2BA87D11"/>
    <w:rsid w:val="2BBB474F"/>
    <w:rsid w:val="2BBE2B98"/>
    <w:rsid w:val="2BC74EA2"/>
    <w:rsid w:val="2BEC20E7"/>
    <w:rsid w:val="2BFB377A"/>
    <w:rsid w:val="2C121D06"/>
    <w:rsid w:val="2C3B319A"/>
    <w:rsid w:val="2C536B29"/>
    <w:rsid w:val="2C6C7E9C"/>
    <w:rsid w:val="2C7F695C"/>
    <w:rsid w:val="2C8D1C48"/>
    <w:rsid w:val="2CB61724"/>
    <w:rsid w:val="2CB9597D"/>
    <w:rsid w:val="2CC26EFA"/>
    <w:rsid w:val="2CE17113"/>
    <w:rsid w:val="2CE42176"/>
    <w:rsid w:val="2D032B0B"/>
    <w:rsid w:val="2D093099"/>
    <w:rsid w:val="2D411E9A"/>
    <w:rsid w:val="2D4E40CC"/>
    <w:rsid w:val="2D643B73"/>
    <w:rsid w:val="2D8435D1"/>
    <w:rsid w:val="2D8868B3"/>
    <w:rsid w:val="2DAC1DE7"/>
    <w:rsid w:val="2DB43204"/>
    <w:rsid w:val="2DD82766"/>
    <w:rsid w:val="2DDC161E"/>
    <w:rsid w:val="2DDD0188"/>
    <w:rsid w:val="2DE82807"/>
    <w:rsid w:val="2DF52EB3"/>
    <w:rsid w:val="2E057F04"/>
    <w:rsid w:val="2E096892"/>
    <w:rsid w:val="2E2A18EC"/>
    <w:rsid w:val="2E3507E9"/>
    <w:rsid w:val="2E3F1199"/>
    <w:rsid w:val="2E645FAA"/>
    <w:rsid w:val="2E9F4B22"/>
    <w:rsid w:val="2EAE2349"/>
    <w:rsid w:val="2EB140AC"/>
    <w:rsid w:val="2EC35DF5"/>
    <w:rsid w:val="2ED42474"/>
    <w:rsid w:val="2EFA6835"/>
    <w:rsid w:val="2F214C7A"/>
    <w:rsid w:val="2F276A57"/>
    <w:rsid w:val="2F37233F"/>
    <w:rsid w:val="2F3C0EE8"/>
    <w:rsid w:val="2F454A5C"/>
    <w:rsid w:val="2F506B18"/>
    <w:rsid w:val="2F665F9B"/>
    <w:rsid w:val="2F9C6646"/>
    <w:rsid w:val="2FA8207D"/>
    <w:rsid w:val="2FB66570"/>
    <w:rsid w:val="2FBD5BEB"/>
    <w:rsid w:val="2FC71915"/>
    <w:rsid w:val="2FC80366"/>
    <w:rsid w:val="2FCA31B3"/>
    <w:rsid w:val="2FCB2C2A"/>
    <w:rsid w:val="2FD16761"/>
    <w:rsid w:val="2FD302BA"/>
    <w:rsid w:val="2FD33B31"/>
    <w:rsid w:val="2FDB345B"/>
    <w:rsid w:val="2FED57CD"/>
    <w:rsid w:val="2FEE341A"/>
    <w:rsid w:val="2FF41FDE"/>
    <w:rsid w:val="300466C5"/>
    <w:rsid w:val="300F0BC6"/>
    <w:rsid w:val="300F0D33"/>
    <w:rsid w:val="30134B5A"/>
    <w:rsid w:val="301F34FF"/>
    <w:rsid w:val="30297EDA"/>
    <w:rsid w:val="302E7877"/>
    <w:rsid w:val="30311B32"/>
    <w:rsid w:val="303933CD"/>
    <w:rsid w:val="303A6943"/>
    <w:rsid w:val="30670A02"/>
    <w:rsid w:val="306B53EE"/>
    <w:rsid w:val="30843C02"/>
    <w:rsid w:val="30CE6127"/>
    <w:rsid w:val="30E4252F"/>
    <w:rsid w:val="30F56787"/>
    <w:rsid w:val="30FC55EE"/>
    <w:rsid w:val="31185CF6"/>
    <w:rsid w:val="311F48E4"/>
    <w:rsid w:val="312957B7"/>
    <w:rsid w:val="31684A32"/>
    <w:rsid w:val="31906FBB"/>
    <w:rsid w:val="31A92D87"/>
    <w:rsid w:val="31D1635F"/>
    <w:rsid w:val="31E87920"/>
    <w:rsid w:val="31F23206"/>
    <w:rsid w:val="31F61BDA"/>
    <w:rsid w:val="31F81121"/>
    <w:rsid w:val="32020437"/>
    <w:rsid w:val="32116E77"/>
    <w:rsid w:val="323252D4"/>
    <w:rsid w:val="324A0FF7"/>
    <w:rsid w:val="325F3A98"/>
    <w:rsid w:val="32686602"/>
    <w:rsid w:val="327B24C9"/>
    <w:rsid w:val="32813FD2"/>
    <w:rsid w:val="32854CE2"/>
    <w:rsid w:val="32897B2A"/>
    <w:rsid w:val="328C4750"/>
    <w:rsid w:val="32943604"/>
    <w:rsid w:val="32AF3B2A"/>
    <w:rsid w:val="32BB7672"/>
    <w:rsid w:val="32DC47AE"/>
    <w:rsid w:val="32E60304"/>
    <w:rsid w:val="3310542B"/>
    <w:rsid w:val="333C43C8"/>
    <w:rsid w:val="33525999"/>
    <w:rsid w:val="336B6A5E"/>
    <w:rsid w:val="336E1441"/>
    <w:rsid w:val="336F6BC3"/>
    <w:rsid w:val="33A37FA3"/>
    <w:rsid w:val="33A930DF"/>
    <w:rsid w:val="33CA4B72"/>
    <w:rsid w:val="33E81DDB"/>
    <w:rsid w:val="33F963D4"/>
    <w:rsid w:val="34017B4B"/>
    <w:rsid w:val="34036C94"/>
    <w:rsid w:val="34087626"/>
    <w:rsid w:val="34301163"/>
    <w:rsid w:val="34307CA0"/>
    <w:rsid w:val="345751BB"/>
    <w:rsid w:val="345A67A0"/>
    <w:rsid w:val="34684D49"/>
    <w:rsid w:val="34713BFD"/>
    <w:rsid w:val="34784F8C"/>
    <w:rsid w:val="34B63D06"/>
    <w:rsid w:val="34BD69B1"/>
    <w:rsid w:val="34BE1328"/>
    <w:rsid w:val="34BF0E0C"/>
    <w:rsid w:val="34C5219B"/>
    <w:rsid w:val="34CE1050"/>
    <w:rsid w:val="34DE0C74"/>
    <w:rsid w:val="34E42656"/>
    <w:rsid w:val="34E80E78"/>
    <w:rsid w:val="34EA23C4"/>
    <w:rsid w:val="35004C0D"/>
    <w:rsid w:val="35303AB8"/>
    <w:rsid w:val="353D401C"/>
    <w:rsid w:val="354D6E05"/>
    <w:rsid w:val="356E45E1"/>
    <w:rsid w:val="357F328A"/>
    <w:rsid w:val="3581798B"/>
    <w:rsid w:val="358D3801"/>
    <w:rsid w:val="3592207D"/>
    <w:rsid w:val="35A2327D"/>
    <w:rsid w:val="35B61988"/>
    <w:rsid w:val="35C42453"/>
    <w:rsid w:val="35CE6E2D"/>
    <w:rsid w:val="35D95EFE"/>
    <w:rsid w:val="35DE52C2"/>
    <w:rsid w:val="35E30B2B"/>
    <w:rsid w:val="35E67C2D"/>
    <w:rsid w:val="35EF64C3"/>
    <w:rsid w:val="360A255B"/>
    <w:rsid w:val="360A51DF"/>
    <w:rsid w:val="360C4620"/>
    <w:rsid w:val="361D0480"/>
    <w:rsid w:val="36291BD2"/>
    <w:rsid w:val="362D624A"/>
    <w:rsid w:val="362F22C3"/>
    <w:rsid w:val="36332620"/>
    <w:rsid w:val="36407840"/>
    <w:rsid w:val="36427AFE"/>
    <w:rsid w:val="36785717"/>
    <w:rsid w:val="367B2D6A"/>
    <w:rsid w:val="36906A79"/>
    <w:rsid w:val="36A33AE5"/>
    <w:rsid w:val="36A4379A"/>
    <w:rsid w:val="36A4654C"/>
    <w:rsid w:val="36AC25BF"/>
    <w:rsid w:val="36C9666D"/>
    <w:rsid w:val="36CA6829"/>
    <w:rsid w:val="36DD11B3"/>
    <w:rsid w:val="36DD3D6B"/>
    <w:rsid w:val="36EA5A16"/>
    <w:rsid w:val="36F53B9F"/>
    <w:rsid w:val="370A0339"/>
    <w:rsid w:val="37317FAD"/>
    <w:rsid w:val="37386C54"/>
    <w:rsid w:val="374875DE"/>
    <w:rsid w:val="37607F59"/>
    <w:rsid w:val="37673A15"/>
    <w:rsid w:val="376B3936"/>
    <w:rsid w:val="376F5A7C"/>
    <w:rsid w:val="3776484C"/>
    <w:rsid w:val="377C5BD0"/>
    <w:rsid w:val="378E4786"/>
    <w:rsid w:val="37DA5DE4"/>
    <w:rsid w:val="37EB2016"/>
    <w:rsid w:val="37F93704"/>
    <w:rsid w:val="37FA1C83"/>
    <w:rsid w:val="38153E7E"/>
    <w:rsid w:val="38156F95"/>
    <w:rsid w:val="38267505"/>
    <w:rsid w:val="382B001D"/>
    <w:rsid w:val="383A2D95"/>
    <w:rsid w:val="38576F74"/>
    <w:rsid w:val="386D766A"/>
    <w:rsid w:val="38703234"/>
    <w:rsid w:val="38740565"/>
    <w:rsid w:val="3886766C"/>
    <w:rsid w:val="3889530B"/>
    <w:rsid w:val="38983E4E"/>
    <w:rsid w:val="38A071A7"/>
    <w:rsid w:val="38B14F10"/>
    <w:rsid w:val="38B25488"/>
    <w:rsid w:val="38B305F0"/>
    <w:rsid w:val="38B36EDA"/>
    <w:rsid w:val="38C731A9"/>
    <w:rsid w:val="38D94A3B"/>
    <w:rsid w:val="38E06A5E"/>
    <w:rsid w:val="38FB2E90"/>
    <w:rsid w:val="390419D6"/>
    <w:rsid w:val="390E4110"/>
    <w:rsid w:val="39214154"/>
    <w:rsid w:val="394302FC"/>
    <w:rsid w:val="39450700"/>
    <w:rsid w:val="39557B0F"/>
    <w:rsid w:val="395A1104"/>
    <w:rsid w:val="396C52DB"/>
    <w:rsid w:val="396C5956"/>
    <w:rsid w:val="396C7089"/>
    <w:rsid w:val="396F2724"/>
    <w:rsid w:val="39764AFB"/>
    <w:rsid w:val="39806966"/>
    <w:rsid w:val="39AE676E"/>
    <w:rsid w:val="39B527DE"/>
    <w:rsid w:val="39B6709E"/>
    <w:rsid w:val="39BD5C38"/>
    <w:rsid w:val="39C36232"/>
    <w:rsid w:val="39D73C6A"/>
    <w:rsid w:val="39DF3261"/>
    <w:rsid w:val="3A004F46"/>
    <w:rsid w:val="3A0912EF"/>
    <w:rsid w:val="3A1611FB"/>
    <w:rsid w:val="3A1C1738"/>
    <w:rsid w:val="3A2D6818"/>
    <w:rsid w:val="3A4D748E"/>
    <w:rsid w:val="3A5C0EAC"/>
    <w:rsid w:val="3A6B3202"/>
    <w:rsid w:val="3A6C4BB8"/>
    <w:rsid w:val="3A87585D"/>
    <w:rsid w:val="3A9077D9"/>
    <w:rsid w:val="3A9B6584"/>
    <w:rsid w:val="3AA52F8B"/>
    <w:rsid w:val="3AAD05B2"/>
    <w:rsid w:val="3AB052EC"/>
    <w:rsid w:val="3AB46C6D"/>
    <w:rsid w:val="3AB807D8"/>
    <w:rsid w:val="3ACC7DDF"/>
    <w:rsid w:val="3AFB3E3F"/>
    <w:rsid w:val="3B003F2D"/>
    <w:rsid w:val="3B3836C7"/>
    <w:rsid w:val="3B64626A"/>
    <w:rsid w:val="3B8F58F5"/>
    <w:rsid w:val="3B9513E2"/>
    <w:rsid w:val="3B9F3548"/>
    <w:rsid w:val="3BB16FD5"/>
    <w:rsid w:val="3BC43BEC"/>
    <w:rsid w:val="3BDC22A4"/>
    <w:rsid w:val="3BE65EE0"/>
    <w:rsid w:val="3BF666D9"/>
    <w:rsid w:val="3BFF41E4"/>
    <w:rsid w:val="3C724CA6"/>
    <w:rsid w:val="3C8C1F1C"/>
    <w:rsid w:val="3C926E07"/>
    <w:rsid w:val="3CAB7E1A"/>
    <w:rsid w:val="3CAD3C40"/>
    <w:rsid w:val="3CB13731"/>
    <w:rsid w:val="3CCD1939"/>
    <w:rsid w:val="3CD016DD"/>
    <w:rsid w:val="3CD63197"/>
    <w:rsid w:val="3D096B03"/>
    <w:rsid w:val="3D104454"/>
    <w:rsid w:val="3D163594"/>
    <w:rsid w:val="3D260522"/>
    <w:rsid w:val="3D296C1F"/>
    <w:rsid w:val="3D2B2ED6"/>
    <w:rsid w:val="3D48692C"/>
    <w:rsid w:val="3D712D62"/>
    <w:rsid w:val="3D74475E"/>
    <w:rsid w:val="3D7A30CD"/>
    <w:rsid w:val="3D7B2870"/>
    <w:rsid w:val="3D7D02D3"/>
    <w:rsid w:val="3D870A9D"/>
    <w:rsid w:val="3D8E52AA"/>
    <w:rsid w:val="3DA27363"/>
    <w:rsid w:val="3DC31D59"/>
    <w:rsid w:val="3DCB1962"/>
    <w:rsid w:val="3DCD505C"/>
    <w:rsid w:val="3DDA35E7"/>
    <w:rsid w:val="3DE2791A"/>
    <w:rsid w:val="3DF92E8C"/>
    <w:rsid w:val="3E0E603F"/>
    <w:rsid w:val="3E302100"/>
    <w:rsid w:val="3E3405C6"/>
    <w:rsid w:val="3E384629"/>
    <w:rsid w:val="3E3E7246"/>
    <w:rsid w:val="3E4405D4"/>
    <w:rsid w:val="3E70582C"/>
    <w:rsid w:val="3E736737"/>
    <w:rsid w:val="3E9055C8"/>
    <w:rsid w:val="3EA352FB"/>
    <w:rsid w:val="3EA96352"/>
    <w:rsid w:val="3EBB5AD9"/>
    <w:rsid w:val="3EC4752A"/>
    <w:rsid w:val="3EC6723B"/>
    <w:rsid w:val="3EDE77D1"/>
    <w:rsid w:val="3EE6168C"/>
    <w:rsid w:val="3EE9675A"/>
    <w:rsid w:val="3F0D6C18"/>
    <w:rsid w:val="3F206B5B"/>
    <w:rsid w:val="3F31427C"/>
    <w:rsid w:val="3F32042D"/>
    <w:rsid w:val="3F4E762F"/>
    <w:rsid w:val="3F680126"/>
    <w:rsid w:val="3F8526FE"/>
    <w:rsid w:val="3FAA0A74"/>
    <w:rsid w:val="3FB809FB"/>
    <w:rsid w:val="3FDA7283"/>
    <w:rsid w:val="3FEA0057"/>
    <w:rsid w:val="3FFC231A"/>
    <w:rsid w:val="400D548D"/>
    <w:rsid w:val="401049FC"/>
    <w:rsid w:val="401954E4"/>
    <w:rsid w:val="40210367"/>
    <w:rsid w:val="402E1FD2"/>
    <w:rsid w:val="403D1D88"/>
    <w:rsid w:val="403E301D"/>
    <w:rsid w:val="40541737"/>
    <w:rsid w:val="40620E16"/>
    <w:rsid w:val="4080090B"/>
    <w:rsid w:val="40BE0EAF"/>
    <w:rsid w:val="40D20119"/>
    <w:rsid w:val="40FE350D"/>
    <w:rsid w:val="4101706A"/>
    <w:rsid w:val="412B1E3F"/>
    <w:rsid w:val="412D35A2"/>
    <w:rsid w:val="412F731A"/>
    <w:rsid w:val="41406303"/>
    <w:rsid w:val="414508EB"/>
    <w:rsid w:val="41457F8F"/>
    <w:rsid w:val="414879D6"/>
    <w:rsid w:val="414A3175"/>
    <w:rsid w:val="41553F7A"/>
    <w:rsid w:val="415B3316"/>
    <w:rsid w:val="415D5C35"/>
    <w:rsid w:val="41637120"/>
    <w:rsid w:val="41744C7A"/>
    <w:rsid w:val="41744D2D"/>
    <w:rsid w:val="41760AA5"/>
    <w:rsid w:val="417E56BE"/>
    <w:rsid w:val="41931AEF"/>
    <w:rsid w:val="41943621"/>
    <w:rsid w:val="41984406"/>
    <w:rsid w:val="419929E5"/>
    <w:rsid w:val="41B1600A"/>
    <w:rsid w:val="41CD299B"/>
    <w:rsid w:val="41D010B9"/>
    <w:rsid w:val="41DD5BAA"/>
    <w:rsid w:val="41E4234D"/>
    <w:rsid w:val="41F8595E"/>
    <w:rsid w:val="4202487D"/>
    <w:rsid w:val="42156510"/>
    <w:rsid w:val="42236AC3"/>
    <w:rsid w:val="42426BD9"/>
    <w:rsid w:val="424D2A0C"/>
    <w:rsid w:val="426138DE"/>
    <w:rsid w:val="42621029"/>
    <w:rsid w:val="4264183D"/>
    <w:rsid w:val="426D634C"/>
    <w:rsid w:val="427561FE"/>
    <w:rsid w:val="428D254A"/>
    <w:rsid w:val="42C22637"/>
    <w:rsid w:val="42DF204D"/>
    <w:rsid w:val="42F2056F"/>
    <w:rsid w:val="430E65E5"/>
    <w:rsid w:val="43206B7C"/>
    <w:rsid w:val="43210EE4"/>
    <w:rsid w:val="433805C0"/>
    <w:rsid w:val="43416B84"/>
    <w:rsid w:val="434D7F2B"/>
    <w:rsid w:val="435E77ED"/>
    <w:rsid w:val="4361619B"/>
    <w:rsid w:val="437E00E5"/>
    <w:rsid w:val="438C3F79"/>
    <w:rsid w:val="43957BE2"/>
    <w:rsid w:val="439B0C97"/>
    <w:rsid w:val="439C0094"/>
    <w:rsid w:val="43A41EC6"/>
    <w:rsid w:val="43AD5CFA"/>
    <w:rsid w:val="43AF4742"/>
    <w:rsid w:val="43C658D6"/>
    <w:rsid w:val="43C875B2"/>
    <w:rsid w:val="43D15202"/>
    <w:rsid w:val="43D61CCF"/>
    <w:rsid w:val="43D83C99"/>
    <w:rsid w:val="43E3619A"/>
    <w:rsid w:val="43F14D5A"/>
    <w:rsid w:val="44097D64"/>
    <w:rsid w:val="44132689"/>
    <w:rsid w:val="443B1ACA"/>
    <w:rsid w:val="444A51E7"/>
    <w:rsid w:val="4454193E"/>
    <w:rsid w:val="447B4624"/>
    <w:rsid w:val="44916F6F"/>
    <w:rsid w:val="449767F4"/>
    <w:rsid w:val="44AB315B"/>
    <w:rsid w:val="44BC7A21"/>
    <w:rsid w:val="44D22496"/>
    <w:rsid w:val="44D2693A"/>
    <w:rsid w:val="44D9118E"/>
    <w:rsid w:val="44DA38DA"/>
    <w:rsid w:val="44E2444F"/>
    <w:rsid w:val="44EA6757"/>
    <w:rsid w:val="44ED72D0"/>
    <w:rsid w:val="4507314D"/>
    <w:rsid w:val="45264D55"/>
    <w:rsid w:val="454551CE"/>
    <w:rsid w:val="454A4D18"/>
    <w:rsid w:val="454F4E4B"/>
    <w:rsid w:val="455A1C62"/>
    <w:rsid w:val="4574354D"/>
    <w:rsid w:val="45A41534"/>
    <w:rsid w:val="45AC414F"/>
    <w:rsid w:val="45B147A1"/>
    <w:rsid w:val="45B1654F"/>
    <w:rsid w:val="45D264C6"/>
    <w:rsid w:val="45DD2FA5"/>
    <w:rsid w:val="45DD7344"/>
    <w:rsid w:val="46001285"/>
    <w:rsid w:val="46024860"/>
    <w:rsid w:val="46095888"/>
    <w:rsid w:val="461152B2"/>
    <w:rsid w:val="46137FC9"/>
    <w:rsid w:val="46141EEB"/>
    <w:rsid w:val="461E61E1"/>
    <w:rsid w:val="461F7045"/>
    <w:rsid w:val="4635586E"/>
    <w:rsid w:val="464655A8"/>
    <w:rsid w:val="464E3D9E"/>
    <w:rsid w:val="46764DA8"/>
    <w:rsid w:val="46781FC9"/>
    <w:rsid w:val="467A2DE5"/>
    <w:rsid w:val="469F4BDC"/>
    <w:rsid w:val="46A14816"/>
    <w:rsid w:val="46B21373"/>
    <w:rsid w:val="46B243AB"/>
    <w:rsid w:val="46B5206F"/>
    <w:rsid w:val="46B75F04"/>
    <w:rsid w:val="46C87C89"/>
    <w:rsid w:val="46D11A53"/>
    <w:rsid w:val="46E26BDC"/>
    <w:rsid w:val="46F4586F"/>
    <w:rsid w:val="46F85279"/>
    <w:rsid w:val="4700718C"/>
    <w:rsid w:val="471536A3"/>
    <w:rsid w:val="47207E67"/>
    <w:rsid w:val="47242D51"/>
    <w:rsid w:val="47262F6D"/>
    <w:rsid w:val="472C15CC"/>
    <w:rsid w:val="475278BE"/>
    <w:rsid w:val="475B25A5"/>
    <w:rsid w:val="475E7E09"/>
    <w:rsid w:val="4766336A"/>
    <w:rsid w:val="476F262D"/>
    <w:rsid w:val="47744496"/>
    <w:rsid w:val="477C55EF"/>
    <w:rsid w:val="478E729F"/>
    <w:rsid w:val="479B7F61"/>
    <w:rsid w:val="47A7018D"/>
    <w:rsid w:val="47AA03E0"/>
    <w:rsid w:val="47B907CC"/>
    <w:rsid w:val="47C547A4"/>
    <w:rsid w:val="47D4150D"/>
    <w:rsid w:val="47DE1152"/>
    <w:rsid w:val="47E26E94"/>
    <w:rsid w:val="47E84A6A"/>
    <w:rsid w:val="47F01878"/>
    <w:rsid w:val="47F6649C"/>
    <w:rsid w:val="483416BA"/>
    <w:rsid w:val="483524F1"/>
    <w:rsid w:val="483671E0"/>
    <w:rsid w:val="4837795D"/>
    <w:rsid w:val="483978C3"/>
    <w:rsid w:val="483B6C46"/>
    <w:rsid w:val="485141AC"/>
    <w:rsid w:val="48BC6667"/>
    <w:rsid w:val="48D507A7"/>
    <w:rsid w:val="48DA7B6B"/>
    <w:rsid w:val="48DC333F"/>
    <w:rsid w:val="48F731BD"/>
    <w:rsid w:val="48FC3F85"/>
    <w:rsid w:val="48FD5F50"/>
    <w:rsid w:val="48FD7CFE"/>
    <w:rsid w:val="48FF4C33"/>
    <w:rsid w:val="49083C88"/>
    <w:rsid w:val="490E1F0B"/>
    <w:rsid w:val="491275AC"/>
    <w:rsid w:val="4913172D"/>
    <w:rsid w:val="49172B6D"/>
    <w:rsid w:val="491B2CD9"/>
    <w:rsid w:val="49225267"/>
    <w:rsid w:val="492434DC"/>
    <w:rsid w:val="493505B1"/>
    <w:rsid w:val="49391650"/>
    <w:rsid w:val="49406994"/>
    <w:rsid w:val="49467D07"/>
    <w:rsid w:val="495400BD"/>
    <w:rsid w:val="49577B3A"/>
    <w:rsid w:val="495E0ECD"/>
    <w:rsid w:val="497129F1"/>
    <w:rsid w:val="498A1E43"/>
    <w:rsid w:val="499752C4"/>
    <w:rsid w:val="49A13ED6"/>
    <w:rsid w:val="49A8558A"/>
    <w:rsid w:val="49C16F7D"/>
    <w:rsid w:val="49C24163"/>
    <w:rsid w:val="49D071C0"/>
    <w:rsid w:val="49E66F6F"/>
    <w:rsid w:val="49E75EF5"/>
    <w:rsid w:val="49EF0578"/>
    <w:rsid w:val="49FF0C19"/>
    <w:rsid w:val="4A010E58"/>
    <w:rsid w:val="4A0A4480"/>
    <w:rsid w:val="4A1657C6"/>
    <w:rsid w:val="4A2E055A"/>
    <w:rsid w:val="4A393AF8"/>
    <w:rsid w:val="4A4B38B2"/>
    <w:rsid w:val="4A5B24A6"/>
    <w:rsid w:val="4A5C2802"/>
    <w:rsid w:val="4A607F57"/>
    <w:rsid w:val="4A66087D"/>
    <w:rsid w:val="4A69619E"/>
    <w:rsid w:val="4A702E84"/>
    <w:rsid w:val="4A9E6DFF"/>
    <w:rsid w:val="4A9F72BE"/>
    <w:rsid w:val="4AA448D5"/>
    <w:rsid w:val="4AAC38E0"/>
    <w:rsid w:val="4AAC47D5"/>
    <w:rsid w:val="4AB04675"/>
    <w:rsid w:val="4AE77037"/>
    <w:rsid w:val="4AEC359D"/>
    <w:rsid w:val="4AFF6E03"/>
    <w:rsid w:val="4B117A90"/>
    <w:rsid w:val="4B3019A8"/>
    <w:rsid w:val="4B4B3D08"/>
    <w:rsid w:val="4B6127C6"/>
    <w:rsid w:val="4B6738D9"/>
    <w:rsid w:val="4BAD50BA"/>
    <w:rsid w:val="4BDB2929"/>
    <w:rsid w:val="4BF429E8"/>
    <w:rsid w:val="4C08700F"/>
    <w:rsid w:val="4C0C2C9F"/>
    <w:rsid w:val="4C1F7B67"/>
    <w:rsid w:val="4C7D0BD4"/>
    <w:rsid w:val="4C90510A"/>
    <w:rsid w:val="4C93137D"/>
    <w:rsid w:val="4CA67E9D"/>
    <w:rsid w:val="4CBF2552"/>
    <w:rsid w:val="4CBF49E9"/>
    <w:rsid w:val="4CC34DBA"/>
    <w:rsid w:val="4CC74B55"/>
    <w:rsid w:val="4CC817DE"/>
    <w:rsid w:val="4CD90BF1"/>
    <w:rsid w:val="4CE47A89"/>
    <w:rsid w:val="4CF747DD"/>
    <w:rsid w:val="4CF80F08"/>
    <w:rsid w:val="4D137823"/>
    <w:rsid w:val="4D1C4819"/>
    <w:rsid w:val="4D2A1FA2"/>
    <w:rsid w:val="4D324033"/>
    <w:rsid w:val="4D390161"/>
    <w:rsid w:val="4D391625"/>
    <w:rsid w:val="4D3D535E"/>
    <w:rsid w:val="4D654866"/>
    <w:rsid w:val="4D73058E"/>
    <w:rsid w:val="4DBB5552"/>
    <w:rsid w:val="4DC62DB4"/>
    <w:rsid w:val="4DCB5DCB"/>
    <w:rsid w:val="4DDF79D2"/>
    <w:rsid w:val="4DE65D3C"/>
    <w:rsid w:val="4DF00C45"/>
    <w:rsid w:val="4DF05175"/>
    <w:rsid w:val="4E066CFE"/>
    <w:rsid w:val="4E105DDD"/>
    <w:rsid w:val="4E1E65AF"/>
    <w:rsid w:val="4E261AA5"/>
    <w:rsid w:val="4E2C6E24"/>
    <w:rsid w:val="4E3D203E"/>
    <w:rsid w:val="4E481A1B"/>
    <w:rsid w:val="4E670CDC"/>
    <w:rsid w:val="4E67256B"/>
    <w:rsid w:val="4E8D2B8D"/>
    <w:rsid w:val="4E9A62E4"/>
    <w:rsid w:val="4EB26848"/>
    <w:rsid w:val="4EB5442D"/>
    <w:rsid w:val="4EBB4AFC"/>
    <w:rsid w:val="4EC83EB4"/>
    <w:rsid w:val="4ED92673"/>
    <w:rsid w:val="4EF676C9"/>
    <w:rsid w:val="4EF82311"/>
    <w:rsid w:val="4F2225EE"/>
    <w:rsid w:val="4F3D70A6"/>
    <w:rsid w:val="4F4649D8"/>
    <w:rsid w:val="4F4E11AC"/>
    <w:rsid w:val="4F5A7C58"/>
    <w:rsid w:val="4F5C1921"/>
    <w:rsid w:val="4F7242E4"/>
    <w:rsid w:val="4F7D26F3"/>
    <w:rsid w:val="4F9A2153"/>
    <w:rsid w:val="4FA113E3"/>
    <w:rsid w:val="4FA12961"/>
    <w:rsid w:val="4FA61914"/>
    <w:rsid w:val="4FB9245A"/>
    <w:rsid w:val="4FD01CC8"/>
    <w:rsid w:val="50027558"/>
    <w:rsid w:val="502000D2"/>
    <w:rsid w:val="5022164F"/>
    <w:rsid w:val="502763B5"/>
    <w:rsid w:val="502E6CEF"/>
    <w:rsid w:val="503404A9"/>
    <w:rsid w:val="503E1C0D"/>
    <w:rsid w:val="504D02B6"/>
    <w:rsid w:val="504F7091"/>
    <w:rsid w:val="5052037E"/>
    <w:rsid w:val="50650662"/>
    <w:rsid w:val="506E18EE"/>
    <w:rsid w:val="50765CE3"/>
    <w:rsid w:val="508D7BB9"/>
    <w:rsid w:val="50900F26"/>
    <w:rsid w:val="50941F28"/>
    <w:rsid w:val="50A43934"/>
    <w:rsid w:val="50AD289F"/>
    <w:rsid w:val="50B073D2"/>
    <w:rsid w:val="50D023E0"/>
    <w:rsid w:val="50D3612E"/>
    <w:rsid w:val="50EE1CF2"/>
    <w:rsid w:val="510A1257"/>
    <w:rsid w:val="511413E7"/>
    <w:rsid w:val="51226553"/>
    <w:rsid w:val="51273B6A"/>
    <w:rsid w:val="513B5867"/>
    <w:rsid w:val="5162338A"/>
    <w:rsid w:val="51734D73"/>
    <w:rsid w:val="517351CB"/>
    <w:rsid w:val="51963F3A"/>
    <w:rsid w:val="519C3DFB"/>
    <w:rsid w:val="51A46F68"/>
    <w:rsid w:val="51A9324D"/>
    <w:rsid w:val="51B01DB1"/>
    <w:rsid w:val="51C21801"/>
    <w:rsid w:val="51C770FB"/>
    <w:rsid w:val="51E263E9"/>
    <w:rsid w:val="51F178C4"/>
    <w:rsid w:val="51F7451A"/>
    <w:rsid w:val="5201726D"/>
    <w:rsid w:val="52092658"/>
    <w:rsid w:val="52462715"/>
    <w:rsid w:val="5254763A"/>
    <w:rsid w:val="526A2F8E"/>
    <w:rsid w:val="526E2C78"/>
    <w:rsid w:val="52892D6A"/>
    <w:rsid w:val="52AA5107"/>
    <w:rsid w:val="52BA0215"/>
    <w:rsid w:val="52CE48E4"/>
    <w:rsid w:val="52D7728C"/>
    <w:rsid w:val="52DD61D8"/>
    <w:rsid w:val="530371C2"/>
    <w:rsid w:val="5311371F"/>
    <w:rsid w:val="53230361"/>
    <w:rsid w:val="532F2874"/>
    <w:rsid w:val="534706D2"/>
    <w:rsid w:val="53746E0E"/>
    <w:rsid w:val="537C1FD5"/>
    <w:rsid w:val="53911AC3"/>
    <w:rsid w:val="53986F85"/>
    <w:rsid w:val="53B446B2"/>
    <w:rsid w:val="53BB7C7C"/>
    <w:rsid w:val="53BF4EB4"/>
    <w:rsid w:val="53D61877"/>
    <w:rsid w:val="5406215C"/>
    <w:rsid w:val="54326C2A"/>
    <w:rsid w:val="54471FFB"/>
    <w:rsid w:val="544A6958"/>
    <w:rsid w:val="54533D44"/>
    <w:rsid w:val="5463310B"/>
    <w:rsid w:val="54686973"/>
    <w:rsid w:val="5475020A"/>
    <w:rsid w:val="54852DC3"/>
    <w:rsid w:val="548C4945"/>
    <w:rsid w:val="548E5CAE"/>
    <w:rsid w:val="54904E8C"/>
    <w:rsid w:val="54A52738"/>
    <w:rsid w:val="54A7731C"/>
    <w:rsid w:val="54B267BD"/>
    <w:rsid w:val="54B41C9B"/>
    <w:rsid w:val="54D678BA"/>
    <w:rsid w:val="54ED6B0C"/>
    <w:rsid w:val="551072FC"/>
    <w:rsid w:val="5516017D"/>
    <w:rsid w:val="55164621"/>
    <w:rsid w:val="551A0BFD"/>
    <w:rsid w:val="552E488B"/>
    <w:rsid w:val="55364548"/>
    <w:rsid w:val="553920BD"/>
    <w:rsid w:val="55493C12"/>
    <w:rsid w:val="554A0021"/>
    <w:rsid w:val="55560EC1"/>
    <w:rsid w:val="55725BF7"/>
    <w:rsid w:val="55872E29"/>
    <w:rsid w:val="559A0517"/>
    <w:rsid w:val="55C323BB"/>
    <w:rsid w:val="55C722E6"/>
    <w:rsid w:val="55CE6CAA"/>
    <w:rsid w:val="55EB6FCA"/>
    <w:rsid w:val="55F93731"/>
    <w:rsid w:val="56086AE1"/>
    <w:rsid w:val="560E354A"/>
    <w:rsid w:val="565962A4"/>
    <w:rsid w:val="565C2507"/>
    <w:rsid w:val="567551FD"/>
    <w:rsid w:val="569102AE"/>
    <w:rsid w:val="5696758D"/>
    <w:rsid w:val="56F125AB"/>
    <w:rsid w:val="56F46787"/>
    <w:rsid w:val="56F61DC4"/>
    <w:rsid w:val="57014E5D"/>
    <w:rsid w:val="57025CFF"/>
    <w:rsid w:val="57174EBB"/>
    <w:rsid w:val="57256D9D"/>
    <w:rsid w:val="5726041F"/>
    <w:rsid w:val="577D5101"/>
    <w:rsid w:val="57802A74"/>
    <w:rsid w:val="57810A29"/>
    <w:rsid w:val="578903D5"/>
    <w:rsid w:val="5791443C"/>
    <w:rsid w:val="57963B29"/>
    <w:rsid w:val="579932E7"/>
    <w:rsid w:val="579B2BBB"/>
    <w:rsid w:val="57EE6505"/>
    <w:rsid w:val="57F5621E"/>
    <w:rsid w:val="57FA3D86"/>
    <w:rsid w:val="580C1D0B"/>
    <w:rsid w:val="58296419"/>
    <w:rsid w:val="58311772"/>
    <w:rsid w:val="58392F24"/>
    <w:rsid w:val="58642F00"/>
    <w:rsid w:val="58694A68"/>
    <w:rsid w:val="58725A6B"/>
    <w:rsid w:val="58986437"/>
    <w:rsid w:val="589A7317"/>
    <w:rsid w:val="58B42919"/>
    <w:rsid w:val="58B918A1"/>
    <w:rsid w:val="58D463D9"/>
    <w:rsid w:val="58D76D55"/>
    <w:rsid w:val="58EB36CF"/>
    <w:rsid w:val="58F646E0"/>
    <w:rsid w:val="591A77D6"/>
    <w:rsid w:val="591F69C1"/>
    <w:rsid w:val="59237391"/>
    <w:rsid w:val="59241ACE"/>
    <w:rsid w:val="59252A79"/>
    <w:rsid w:val="59531282"/>
    <w:rsid w:val="595E6596"/>
    <w:rsid w:val="597731B4"/>
    <w:rsid w:val="59877265"/>
    <w:rsid w:val="59B8562B"/>
    <w:rsid w:val="59BB1347"/>
    <w:rsid w:val="59D71D17"/>
    <w:rsid w:val="59FC0101"/>
    <w:rsid w:val="5A0E3E92"/>
    <w:rsid w:val="5A186745"/>
    <w:rsid w:val="5A315F2F"/>
    <w:rsid w:val="5A333959"/>
    <w:rsid w:val="5A5A38E3"/>
    <w:rsid w:val="5A6333C7"/>
    <w:rsid w:val="5A727279"/>
    <w:rsid w:val="5A7D0C9E"/>
    <w:rsid w:val="5A82486D"/>
    <w:rsid w:val="5A951B44"/>
    <w:rsid w:val="5ABF3065"/>
    <w:rsid w:val="5AD27127"/>
    <w:rsid w:val="5ADC7773"/>
    <w:rsid w:val="5AE737BA"/>
    <w:rsid w:val="5AEC1193"/>
    <w:rsid w:val="5AF947C9"/>
    <w:rsid w:val="5AFB1604"/>
    <w:rsid w:val="5AFF3461"/>
    <w:rsid w:val="5B045404"/>
    <w:rsid w:val="5B4F49FA"/>
    <w:rsid w:val="5B5C73FA"/>
    <w:rsid w:val="5B6339F0"/>
    <w:rsid w:val="5B674F0E"/>
    <w:rsid w:val="5B6C5675"/>
    <w:rsid w:val="5B7C0E15"/>
    <w:rsid w:val="5B804F69"/>
    <w:rsid w:val="5B9718EC"/>
    <w:rsid w:val="5BB24978"/>
    <w:rsid w:val="5BBA7B21"/>
    <w:rsid w:val="5BD23965"/>
    <w:rsid w:val="5BE2700B"/>
    <w:rsid w:val="5BE621CA"/>
    <w:rsid w:val="5BEC5F84"/>
    <w:rsid w:val="5C2A3482"/>
    <w:rsid w:val="5C341831"/>
    <w:rsid w:val="5C4D007C"/>
    <w:rsid w:val="5C610EEC"/>
    <w:rsid w:val="5C6544C6"/>
    <w:rsid w:val="5C8A46F6"/>
    <w:rsid w:val="5CB607B2"/>
    <w:rsid w:val="5CB62246"/>
    <w:rsid w:val="5CB62ECD"/>
    <w:rsid w:val="5CD929A9"/>
    <w:rsid w:val="5CDC2838"/>
    <w:rsid w:val="5CE44653"/>
    <w:rsid w:val="5CE86977"/>
    <w:rsid w:val="5CF7233C"/>
    <w:rsid w:val="5D035F9E"/>
    <w:rsid w:val="5D177188"/>
    <w:rsid w:val="5D1E2FDC"/>
    <w:rsid w:val="5D223C5B"/>
    <w:rsid w:val="5D287995"/>
    <w:rsid w:val="5D2B2C34"/>
    <w:rsid w:val="5D320A46"/>
    <w:rsid w:val="5D3E6073"/>
    <w:rsid w:val="5D482624"/>
    <w:rsid w:val="5D4D5256"/>
    <w:rsid w:val="5D595968"/>
    <w:rsid w:val="5D5C2F0F"/>
    <w:rsid w:val="5D6424CE"/>
    <w:rsid w:val="5D9205BD"/>
    <w:rsid w:val="5DBB12DE"/>
    <w:rsid w:val="5DBB34EB"/>
    <w:rsid w:val="5DC74BDB"/>
    <w:rsid w:val="5DCD7847"/>
    <w:rsid w:val="5DDF4462"/>
    <w:rsid w:val="5DEC4171"/>
    <w:rsid w:val="5DED6462"/>
    <w:rsid w:val="5DFC5994"/>
    <w:rsid w:val="5E11622F"/>
    <w:rsid w:val="5E162F9C"/>
    <w:rsid w:val="5E165467"/>
    <w:rsid w:val="5E1B2CA8"/>
    <w:rsid w:val="5E2A2EEB"/>
    <w:rsid w:val="5E547752"/>
    <w:rsid w:val="5E691359"/>
    <w:rsid w:val="5E884F23"/>
    <w:rsid w:val="5E9E3F44"/>
    <w:rsid w:val="5EAE0B30"/>
    <w:rsid w:val="5EB033F0"/>
    <w:rsid w:val="5ECF75EF"/>
    <w:rsid w:val="5EDB01F9"/>
    <w:rsid w:val="5EE9384C"/>
    <w:rsid w:val="5F257D99"/>
    <w:rsid w:val="5F4C2625"/>
    <w:rsid w:val="5F515CA9"/>
    <w:rsid w:val="5F5458D6"/>
    <w:rsid w:val="5F5521EA"/>
    <w:rsid w:val="5F8C5268"/>
    <w:rsid w:val="5FA42829"/>
    <w:rsid w:val="5FC75200"/>
    <w:rsid w:val="5FCD18F9"/>
    <w:rsid w:val="5FF135BF"/>
    <w:rsid w:val="60161BE0"/>
    <w:rsid w:val="602143DC"/>
    <w:rsid w:val="605617BA"/>
    <w:rsid w:val="60591866"/>
    <w:rsid w:val="605C6C9A"/>
    <w:rsid w:val="60600E46"/>
    <w:rsid w:val="60C211B9"/>
    <w:rsid w:val="60F65306"/>
    <w:rsid w:val="61113740"/>
    <w:rsid w:val="61357BDD"/>
    <w:rsid w:val="615D2BF0"/>
    <w:rsid w:val="617C1CB0"/>
    <w:rsid w:val="61901B87"/>
    <w:rsid w:val="619D58DD"/>
    <w:rsid w:val="619F4775"/>
    <w:rsid w:val="619F774C"/>
    <w:rsid w:val="61A038AC"/>
    <w:rsid w:val="61A061EF"/>
    <w:rsid w:val="61A8572E"/>
    <w:rsid w:val="61A94127"/>
    <w:rsid w:val="61B52ACC"/>
    <w:rsid w:val="61B823B8"/>
    <w:rsid w:val="61BD13CE"/>
    <w:rsid w:val="61C623BC"/>
    <w:rsid w:val="61CA3372"/>
    <w:rsid w:val="61D0449A"/>
    <w:rsid w:val="61EA496C"/>
    <w:rsid w:val="61F0156D"/>
    <w:rsid w:val="620C7A96"/>
    <w:rsid w:val="62387945"/>
    <w:rsid w:val="623C5C03"/>
    <w:rsid w:val="624125B1"/>
    <w:rsid w:val="62470432"/>
    <w:rsid w:val="625151C3"/>
    <w:rsid w:val="62655283"/>
    <w:rsid w:val="62692EDE"/>
    <w:rsid w:val="627C183B"/>
    <w:rsid w:val="6293593A"/>
    <w:rsid w:val="629C143F"/>
    <w:rsid w:val="62A0377C"/>
    <w:rsid w:val="62CB58E2"/>
    <w:rsid w:val="62D414A3"/>
    <w:rsid w:val="62E321F7"/>
    <w:rsid w:val="62EA328A"/>
    <w:rsid w:val="62ED128B"/>
    <w:rsid w:val="630B6B0B"/>
    <w:rsid w:val="631C17CD"/>
    <w:rsid w:val="631D4907"/>
    <w:rsid w:val="632443AD"/>
    <w:rsid w:val="632B573B"/>
    <w:rsid w:val="633B599D"/>
    <w:rsid w:val="634D7F1E"/>
    <w:rsid w:val="63567576"/>
    <w:rsid w:val="635B76A3"/>
    <w:rsid w:val="63726E2D"/>
    <w:rsid w:val="637E1077"/>
    <w:rsid w:val="6380470F"/>
    <w:rsid w:val="63876234"/>
    <w:rsid w:val="63894210"/>
    <w:rsid w:val="638F44A7"/>
    <w:rsid w:val="63900FBD"/>
    <w:rsid w:val="63B65034"/>
    <w:rsid w:val="63C9219A"/>
    <w:rsid w:val="63D113E6"/>
    <w:rsid w:val="63F17B9D"/>
    <w:rsid w:val="640217C6"/>
    <w:rsid w:val="640D75E2"/>
    <w:rsid w:val="640E24C1"/>
    <w:rsid w:val="640F0058"/>
    <w:rsid w:val="641C43AF"/>
    <w:rsid w:val="644545DB"/>
    <w:rsid w:val="644E1F22"/>
    <w:rsid w:val="646709F5"/>
    <w:rsid w:val="64673A78"/>
    <w:rsid w:val="64697967"/>
    <w:rsid w:val="646E780D"/>
    <w:rsid w:val="647439D1"/>
    <w:rsid w:val="647B33EF"/>
    <w:rsid w:val="647F331B"/>
    <w:rsid w:val="64862494"/>
    <w:rsid w:val="648A6492"/>
    <w:rsid w:val="64923598"/>
    <w:rsid w:val="64965B68"/>
    <w:rsid w:val="64A32268"/>
    <w:rsid w:val="64D932A2"/>
    <w:rsid w:val="64F25DE5"/>
    <w:rsid w:val="64FF12F8"/>
    <w:rsid w:val="65040A76"/>
    <w:rsid w:val="65075D34"/>
    <w:rsid w:val="650B1E78"/>
    <w:rsid w:val="650C2CC7"/>
    <w:rsid w:val="65107FDC"/>
    <w:rsid w:val="651429D1"/>
    <w:rsid w:val="651D7306"/>
    <w:rsid w:val="65253036"/>
    <w:rsid w:val="65493C57"/>
    <w:rsid w:val="6562153E"/>
    <w:rsid w:val="657D1B52"/>
    <w:rsid w:val="6588264C"/>
    <w:rsid w:val="659566E9"/>
    <w:rsid w:val="65960E66"/>
    <w:rsid w:val="65991955"/>
    <w:rsid w:val="65B3306A"/>
    <w:rsid w:val="65E11277"/>
    <w:rsid w:val="65F067C8"/>
    <w:rsid w:val="65F54B35"/>
    <w:rsid w:val="65FC78E3"/>
    <w:rsid w:val="66295166"/>
    <w:rsid w:val="662E109F"/>
    <w:rsid w:val="663C37BC"/>
    <w:rsid w:val="664B2348"/>
    <w:rsid w:val="665057B5"/>
    <w:rsid w:val="66602F5D"/>
    <w:rsid w:val="66637308"/>
    <w:rsid w:val="668D74CB"/>
    <w:rsid w:val="66915311"/>
    <w:rsid w:val="66AD290B"/>
    <w:rsid w:val="66B25297"/>
    <w:rsid w:val="66B55B7F"/>
    <w:rsid w:val="66C7577B"/>
    <w:rsid w:val="66DE2AC5"/>
    <w:rsid w:val="66F44096"/>
    <w:rsid w:val="67033A03"/>
    <w:rsid w:val="670C79AB"/>
    <w:rsid w:val="67127FC5"/>
    <w:rsid w:val="67277CAF"/>
    <w:rsid w:val="676743AA"/>
    <w:rsid w:val="67787CAA"/>
    <w:rsid w:val="678B3471"/>
    <w:rsid w:val="67A03C30"/>
    <w:rsid w:val="67AF036B"/>
    <w:rsid w:val="67AF4D0D"/>
    <w:rsid w:val="67B500F6"/>
    <w:rsid w:val="67B90CA5"/>
    <w:rsid w:val="67C1301E"/>
    <w:rsid w:val="67C556D3"/>
    <w:rsid w:val="67C72353"/>
    <w:rsid w:val="67CB197B"/>
    <w:rsid w:val="67CE0D8B"/>
    <w:rsid w:val="67F8196A"/>
    <w:rsid w:val="680227E3"/>
    <w:rsid w:val="68093B71"/>
    <w:rsid w:val="680C0607"/>
    <w:rsid w:val="68130DEF"/>
    <w:rsid w:val="681A3FD0"/>
    <w:rsid w:val="68252CBB"/>
    <w:rsid w:val="68281FD9"/>
    <w:rsid w:val="68386205"/>
    <w:rsid w:val="683A3D2B"/>
    <w:rsid w:val="683E71DA"/>
    <w:rsid w:val="6846639C"/>
    <w:rsid w:val="685140CA"/>
    <w:rsid w:val="686D23BF"/>
    <w:rsid w:val="68701EF4"/>
    <w:rsid w:val="687F3E33"/>
    <w:rsid w:val="688D7C04"/>
    <w:rsid w:val="688E2F2E"/>
    <w:rsid w:val="689337F6"/>
    <w:rsid w:val="68AA7587"/>
    <w:rsid w:val="68AD4258"/>
    <w:rsid w:val="68B9111C"/>
    <w:rsid w:val="68BF796D"/>
    <w:rsid w:val="68F71C1C"/>
    <w:rsid w:val="69142D3A"/>
    <w:rsid w:val="69190ED2"/>
    <w:rsid w:val="691959FB"/>
    <w:rsid w:val="692D19E3"/>
    <w:rsid w:val="692E56B1"/>
    <w:rsid w:val="69313380"/>
    <w:rsid w:val="693E452C"/>
    <w:rsid w:val="69485A23"/>
    <w:rsid w:val="694D718D"/>
    <w:rsid w:val="695A5977"/>
    <w:rsid w:val="695D5F23"/>
    <w:rsid w:val="6990454A"/>
    <w:rsid w:val="69A1521B"/>
    <w:rsid w:val="69D17276"/>
    <w:rsid w:val="69D73A81"/>
    <w:rsid w:val="6A0B7BC0"/>
    <w:rsid w:val="6A226234"/>
    <w:rsid w:val="6A282C1E"/>
    <w:rsid w:val="6A5437CA"/>
    <w:rsid w:val="6A6E4728"/>
    <w:rsid w:val="6A7379C8"/>
    <w:rsid w:val="6A79776B"/>
    <w:rsid w:val="6A955B90"/>
    <w:rsid w:val="6A9714D8"/>
    <w:rsid w:val="6A9C1547"/>
    <w:rsid w:val="6AA81420"/>
    <w:rsid w:val="6AC0558E"/>
    <w:rsid w:val="6AD06BC8"/>
    <w:rsid w:val="6AD266F1"/>
    <w:rsid w:val="6AE646D7"/>
    <w:rsid w:val="6B075516"/>
    <w:rsid w:val="6B157DB3"/>
    <w:rsid w:val="6B196A05"/>
    <w:rsid w:val="6B2C2051"/>
    <w:rsid w:val="6B346D3F"/>
    <w:rsid w:val="6B54578E"/>
    <w:rsid w:val="6B7457A6"/>
    <w:rsid w:val="6B8C113F"/>
    <w:rsid w:val="6BA22313"/>
    <w:rsid w:val="6BA82E3C"/>
    <w:rsid w:val="6BBB441B"/>
    <w:rsid w:val="6BC21DAA"/>
    <w:rsid w:val="6BC63D5E"/>
    <w:rsid w:val="6BCC55E2"/>
    <w:rsid w:val="6BEE37AA"/>
    <w:rsid w:val="6BF4410C"/>
    <w:rsid w:val="6C24220A"/>
    <w:rsid w:val="6C2C6AB3"/>
    <w:rsid w:val="6C3513D9"/>
    <w:rsid w:val="6C396685"/>
    <w:rsid w:val="6C416ADE"/>
    <w:rsid w:val="6C532349"/>
    <w:rsid w:val="6C6E48EB"/>
    <w:rsid w:val="6C7505EB"/>
    <w:rsid w:val="6C873581"/>
    <w:rsid w:val="6CC37854"/>
    <w:rsid w:val="6CCA1DA6"/>
    <w:rsid w:val="6CE04070"/>
    <w:rsid w:val="6CE62C0E"/>
    <w:rsid w:val="6CE67F7E"/>
    <w:rsid w:val="6CE95D1F"/>
    <w:rsid w:val="6CFA7F2C"/>
    <w:rsid w:val="6D0434CE"/>
    <w:rsid w:val="6D2C5A6A"/>
    <w:rsid w:val="6D2D3E5E"/>
    <w:rsid w:val="6D3616A8"/>
    <w:rsid w:val="6D433682"/>
    <w:rsid w:val="6D4A0C8A"/>
    <w:rsid w:val="6D4C3E12"/>
    <w:rsid w:val="6D4F64CA"/>
    <w:rsid w:val="6D4F7E00"/>
    <w:rsid w:val="6D592EA5"/>
    <w:rsid w:val="6D593C21"/>
    <w:rsid w:val="6D6F4477"/>
    <w:rsid w:val="6D8B6DD7"/>
    <w:rsid w:val="6D8D08AD"/>
    <w:rsid w:val="6D955854"/>
    <w:rsid w:val="6DA0675D"/>
    <w:rsid w:val="6DA97AA6"/>
    <w:rsid w:val="6DB3694A"/>
    <w:rsid w:val="6DC04CD2"/>
    <w:rsid w:val="6DC93A9A"/>
    <w:rsid w:val="6DCB54D0"/>
    <w:rsid w:val="6DD527EF"/>
    <w:rsid w:val="6DDE5165"/>
    <w:rsid w:val="6DE65406"/>
    <w:rsid w:val="6E051EBE"/>
    <w:rsid w:val="6E3828B1"/>
    <w:rsid w:val="6E3A0F28"/>
    <w:rsid w:val="6E4610C6"/>
    <w:rsid w:val="6E4C0C5C"/>
    <w:rsid w:val="6E5813AF"/>
    <w:rsid w:val="6E581F01"/>
    <w:rsid w:val="6E5A6BCE"/>
    <w:rsid w:val="6E6604D4"/>
    <w:rsid w:val="6E6B58B0"/>
    <w:rsid w:val="6EC12C34"/>
    <w:rsid w:val="6EC86534"/>
    <w:rsid w:val="6ED56B86"/>
    <w:rsid w:val="6EEA67D6"/>
    <w:rsid w:val="6EF57844"/>
    <w:rsid w:val="6EFB0D5D"/>
    <w:rsid w:val="6EFB1F6F"/>
    <w:rsid w:val="6F1057E5"/>
    <w:rsid w:val="6F1B1434"/>
    <w:rsid w:val="6F367453"/>
    <w:rsid w:val="6F391729"/>
    <w:rsid w:val="6F4038E8"/>
    <w:rsid w:val="6F500B77"/>
    <w:rsid w:val="6F510475"/>
    <w:rsid w:val="6F6357C0"/>
    <w:rsid w:val="6F7716AE"/>
    <w:rsid w:val="6F773AB6"/>
    <w:rsid w:val="6F7B5355"/>
    <w:rsid w:val="6F8427D7"/>
    <w:rsid w:val="6F8B3EAE"/>
    <w:rsid w:val="6F9209CA"/>
    <w:rsid w:val="6F9816E6"/>
    <w:rsid w:val="6F9E2F3E"/>
    <w:rsid w:val="6FBF5F8B"/>
    <w:rsid w:val="6FC31A4F"/>
    <w:rsid w:val="6FDE3B35"/>
    <w:rsid w:val="6FE02DA8"/>
    <w:rsid w:val="70096E04"/>
    <w:rsid w:val="701B025E"/>
    <w:rsid w:val="70275F36"/>
    <w:rsid w:val="704109F5"/>
    <w:rsid w:val="7058142B"/>
    <w:rsid w:val="70673465"/>
    <w:rsid w:val="707D50FC"/>
    <w:rsid w:val="7083076F"/>
    <w:rsid w:val="709B37D5"/>
    <w:rsid w:val="70B561E0"/>
    <w:rsid w:val="70B623BC"/>
    <w:rsid w:val="70C05AF8"/>
    <w:rsid w:val="70DD3DED"/>
    <w:rsid w:val="70E44CED"/>
    <w:rsid w:val="70F353BF"/>
    <w:rsid w:val="70FC0717"/>
    <w:rsid w:val="71052890"/>
    <w:rsid w:val="710662FC"/>
    <w:rsid w:val="711F5978"/>
    <w:rsid w:val="713C274C"/>
    <w:rsid w:val="71437859"/>
    <w:rsid w:val="71543AA5"/>
    <w:rsid w:val="71570290"/>
    <w:rsid w:val="71584EE8"/>
    <w:rsid w:val="715A08DA"/>
    <w:rsid w:val="715C1046"/>
    <w:rsid w:val="716943D1"/>
    <w:rsid w:val="716D5445"/>
    <w:rsid w:val="716D6F1F"/>
    <w:rsid w:val="717D4841"/>
    <w:rsid w:val="71946694"/>
    <w:rsid w:val="71A0113E"/>
    <w:rsid w:val="71A5490B"/>
    <w:rsid w:val="71AA6998"/>
    <w:rsid w:val="71B66B18"/>
    <w:rsid w:val="71C445A1"/>
    <w:rsid w:val="71D87CE9"/>
    <w:rsid w:val="71D92806"/>
    <w:rsid w:val="71DD1E72"/>
    <w:rsid w:val="71EE700C"/>
    <w:rsid w:val="71FB0D66"/>
    <w:rsid w:val="72024CCB"/>
    <w:rsid w:val="7209762E"/>
    <w:rsid w:val="72135D18"/>
    <w:rsid w:val="72201044"/>
    <w:rsid w:val="722A1DFA"/>
    <w:rsid w:val="7232707D"/>
    <w:rsid w:val="726859FA"/>
    <w:rsid w:val="729A15AE"/>
    <w:rsid w:val="72A734F6"/>
    <w:rsid w:val="72B312A9"/>
    <w:rsid w:val="72BA6194"/>
    <w:rsid w:val="72BC0B4D"/>
    <w:rsid w:val="72D05C07"/>
    <w:rsid w:val="72DA6670"/>
    <w:rsid w:val="732D4BB8"/>
    <w:rsid w:val="7334560F"/>
    <w:rsid w:val="73840550"/>
    <w:rsid w:val="738F5872"/>
    <w:rsid w:val="739334F1"/>
    <w:rsid w:val="73944029"/>
    <w:rsid w:val="739801A3"/>
    <w:rsid w:val="739E216C"/>
    <w:rsid w:val="73AA2894"/>
    <w:rsid w:val="73B31FAC"/>
    <w:rsid w:val="73B940A9"/>
    <w:rsid w:val="73CA2A47"/>
    <w:rsid w:val="73DE2356"/>
    <w:rsid w:val="73E060CE"/>
    <w:rsid w:val="73E75C55"/>
    <w:rsid w:val="73F676A0"/>
    <w:rsid w:val="73FB6023"/>
    <w:rsid w:val="740B5D83"/>
    <w:rsid w:val="741A10BF"/>
    <w:rsid w:val="742221F5"/>
    <w:rsid w:val="742C0002"/>
    <w:rsid w:val="743573C4"/>
    <w:rsid w:val="7436431B"/>
    <w:rsid w:val="7439643C"/>
    <w:rsid w:val="74691B3A"/>
    <w:rsid w:val="74714F78"/>
    <w:rsid w:val="748F4301"/>
    <w:rsid w:val="749A44CF"/>
    <w:rsid w:val="74B84B52"/>
    <w:rsid w:val="74BF2BE8"/>
    <w:rsid w:val="74C57072"/>
    <w:rsid w:val="74CC5569"/>
    <w:rsid w:val="74D45641"/>
    <w:rsid w:val="74DD134A"/>
    <w:rsid w:val="74F04A56"/>
    <w:rsid w:val="75090B63"/>
    <w:rsid w:val="75221F4E"/>
    <w:rsid w:val="75295853"/>
    <w:rsid w:val="75321579"/>
    <w:rsid w:val="753F6E24"/>
    <w:rsid w:val="754B4462"/>
    <w:rsid w:val="755723C0"/>
    <w:rsid w:val="757C1E26"/>
    <w:rsid w:val="75812F99"/>
    <w:rsid w:val="75994786"/>
    <w:rsid w:val="75A1188D"/>
    <w:rsid w:val="75BD4458"/>
    <w:rsid w:val="75C865EF"/>
    <w:rsid w:val="75CE0E48"/>
    <w:rsid w:val="75D31135"/>
    <w:rsid w:val="75E17EDC"/>
    <w:rsid w:val="75F06371"/>
    <w:rsid w:val="75FE6A9F"/>
    <w:rsid w:val="76065B94"/>
    <w:rsid w:val="76120095"/>
    <w:rsid w:val="761262E7"/>
    <w:rsid w:val="761C0B72"/>
    <w:rsid w:val="76366479"/>
    <w:rsid w:val="766935D1"/>
    <w:rsid w:val="767B20DE"/>
    <w:rsid w:val="768A2FB6"/>
    <w:rsid w:val="7690228C"/>
    <w:rsid w:val="769705CE"/>
    <w:rsid w:val="76982C90"/>
    <w:rsid w:val="76A1200E"/>
    <w:rsid w:val="76B217A3"/>
    <w:rsid w:val="76C33EA4"/>
    <w:rsid w:val="76C72946"/>
    <w:rsid w:val="76CA4E14"/>
    <w:rsid w:val="76D054F0"/>
    <w:rsid w:val="76D76FB2"/>
    <w:rsid w:val="76DA33F6"/>
    <w:rsid w:val="76E557A9"/>
    <w:rsid w:val="76ED3D87"/>
    <w:rsid w:val="76F61765"/>
    <w:rsid w:val="77261464"/>
    <w:rsid w:val="77271051"/>
    <w:rsid w:val="772A7C3D"/>
    <w:rsid w:val="773627F0"/>
    <w:rsid w:val="773D7394"/>
    <w:rsid w:val="774B3D64"/>
    <w:rsid w:val="77533C81"/>
    <w:rsid w:val="77625344"/>
    <w:rsid w:val="776C2E77"/>
    <w:rsid w:val="776C7C79"/>
    <w:rsid w:val="777764CE"/>
    <w:rsid w:val="778030AE"/>
    <w:rsid w:val="77933E93"/>
    <w:rsid w:val="77945090"/>
    <w:rsid w:val="77A14B9C"/>
    <w:rsid w:val="77A15B74"/>
    <w:rsid w:val="77CB148D"/>
    <w:rsid w:val="77D70332"/>
    <w:rsid w:val="77F75794"/>
    <w:rsid w:val="780F43FF"/>
    <w:rsid w:val="784B1120"/>
    <w:rsid w:val="784E4535"/>
    <w:rsid w:val="786645FD"/>
    <w:rsid w:val="78707977"/>
    <w:rsid w:val="787B4617"/>
    <w:rsid w:val="7883563A"/>
    <w:rsid w:val="7890397C"/>
    <w:rsid w:val="78916D8B"/>
    <w:rsid w:val="78AC1DB9"/>
    <w:rsid w:val="78AD50A9"/>
    <w:rsid w:val="78C82102"/>
    <w:rsid w:val="78CE3845"/>
    <w:rsid w:val="78D45AD6"/>
    <w:rsid w:val="78D752FE"/>
    <w:rsid w:val="78EB6C36"/>
    <w:rsid w:val="78EF64D3"/>
    <w:rsid w:val="78F21373"/>
    <w:rsid w:val="78F341E7"/>
    <w:rsid w:val="78F6237B"/>
    <w:rsid w:val="790068CB"/>
    <w:rsid w:val="7906699E"/>
    <w:rsid w:val="79323E93"/>
    <w:rsid w:val="7940094B"/>
    <w:rsid w:val="79456B45"/>
    <w:rsid w:val="794A1A8D"/>
    <w:rsid w:val="7954369B"/>
    <w:rsid w:val="7984696A"/>
    <w:rsid w:val="79864300"/>
    <w:rsid w:val="7986569E"/>
    <w:rsid w:val="7998154B"/>
    <w:rsid w:val="79982FA7"/>
    <w:rsid w:val="799F0D1C"/>
    <w:rsid w:val="79A73797"/>
    <w:rsid w:val="79BD362F"/>
    <w:rsid w:val="79D57D57"/>
    <w:rsid w:val="79E725AA"/>
    <w:rsid w:val="79F4538B"/>
    <w:rsid w:val="79FC64D6"/>
    <w:rsid w:val="7A022015"/>
    <w:rsid w:val="7A177023"/>
    <w:rsid w:val="7A1B31FE"/>
    <w:rsid w:val="7A3249E0"/>
    <w:rsid w:val="7A33703D"/>
    <w:rsid w:val="7A7B7F41"/>
    <w:rsid w:val="7A7C45FB"/>
    <w:rsid w:val="7A7E03EF"/>
    <w:rsid w:val="7A8E1846"/>
    <w:rsid w:val="7AA64AEE"/>
    <w:rsid w:val="7AAA11E4"/>
    <w:rsid w:val="7AC83FF7"/>
    <w:rsid w:val="7ACE1511"/>
    <w:rsid w:val="7AD148AF"/>
    <w:rsid w:val="7AD2139B"/>
    <w:rsid w:val="7ADE1965"/>
    <w:rsid w:val="7ADF05BC"/>
    <w:rsid w:val="7AE20826"/>
    <w:rsid w:val="7B073F40"/>
    <w:rsid w:val="7B1C3D58"/>
    <w:rsid w:val="7B4C4DF8"/>
    <w:rsid w:val="7B551150"/>
    <w:rsid w:val="7B566C76"/>
    <w:rsid w:val="7B5F3D7C"/>
    <w:rsid w:val="7B65086D"/>
    <w:rsid w:val="7B6A09CA"/>
    <w:rsid w:val="7B762E74"/>
    <w:rsid w:val="7B9B290E"/>
    <w:rsid w:val="7B9F541F"/>
    <w:rsid w:val="7BA46A9D"/>
    <w:rsid w:val="7BAC32C0"/>
    <w:rsid w:val="7BAD3235"/>
    <w:rsid w:val="7BB816DF"/>
    <w:rsid w:val="7BC61FBB"/>
    <w:rsid w:val="7BE67559"/>
    <w:rsid w:val="7BFA7A0D"/>
    <w:rsid w:val="7C0F46BD"/>
    <w:rsid w:val="7C245533"/>
    <w:rsid w:val="7C291AEB"/>
    <w:rsid w:val="7C474087"/>
    <w:rsid w:val="7C660293"/>
    <w:rsid w:val="7C6C0F3B"/>
    <w:rsid w:val="7C732E05"/>
    <w:rsid w:val="7C7F6881"/>
    <w:rsid w:val="7C952429"/>
    <w:rsid w:val="7CA103C5"/>
    <w:rsid w:val="7CA83501"/>
    <w:rsid w:val="7CC64239"/>
    <w:rsid w:val="7CC75DF9"/>
    <w:rsid w:val="7CCA16C9"/>
    <w:rsid w:val="7CCC1156"/>
    <w:rsid w:val="7CD12A58"/>
    <w:rsid w:val="7CDB38D7"/>
    <w:rsid w:val="7CDF1155"/>
    <w:rsid w:val="7CE107C1"/>
    <w:rsid w:val="7CEF2EDE"/>
    <w:rsid w:val="7CFE1373"/>
    <w:rsid w:val="7D005929"/>
    <w:rsid w:val="7D031E50"/>
    <w:rsid w:val="7D187490"/>
    <w:rsid w:val="7D2D363E"/>
    <w:rsid w:val="7D39610E"/>
    <w:rsid w:val="7D4704B1"/>
    <w:rsid w:val="7D5854F7"/>
    <w:rsid w:val="7D7D0740"/>
    <w:rsid w:val="7D9E0E2A"/>
    <w:rsid w:val="7DA028C1"/>
    <w:rsid w:val="7DA35792"/>
    <w:rsid w:val="7DA71A0B"/>
    <w:rsid w:val="7DF509C8"/>
    <w:rsid w:val="7E0140F7"/>
    <w:rsid w:val="7E2F6C16"/>
    <w:rsid w:val="7E40312D"/>
    <w:rsid w:val="7E463627"/>
    <w:rsid w:val="7E5576B9"/>
    <w:rsid w:val="7E662BE9"/>
    <w:rsid w:val="7E6A5B60"/>
    <w:rsid w:val="7E777C06"/>
    <w:rsid w:val="7E891110"/>
    <w:rsid w:val="7EA60895"/>
    <w:rsid w:val="7EB80BC2"/>
    <w:rsid w:val="7EBE3DA3"/>
    <w:rsid w:val="7EBE52A0"/>
    <w:rsid w:val="7EBF6EE1"/>
    <w:rsid w:val="7ECD2600"/>
    <w:rsid w:val="7ED46761"/>
    <w:rsid w:val="7EE358B6"/>
    <w:rsid w:val="7EF85802"/>
    <w:rsid w:val="7EF902DC"/>
    <w:rsid w:val="7EF94DF6"/>
    <w:rsid w:val="7EFC6EBC"/>
    <w:rsid w:val="7F180692"/>
    <w:rsid w:val="7F185B56"/>
    <w:rsid w:val="7F2761B0"/>
    <w:rsid w:val="7F2B0A14"/>
    <w:rsid w:val="7F3F0C0D"/>
    <w:rsid w:val="7F4236A7"/>
    <w:rsid w:val="7F4F4DBA"/>
    <w:rsid w:val="7F523779"/>
    <w:rsid w:val="7F6E7ABA"/>
    <w:rsid w:val="7F784A55"/>
    <w:rsid w:val="7F794FE3"/>
    <w:rsid w:val="7F9E2999"/>
    <w:rsid w:val="7FAB78F5"/>
    <w:rsid w:val="7FC56178"/>
    <w:rsid w:val="7FCB16B2"/>
    <w:rsid w:val="7FEF7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numPr>
        <w:ilvl w:val="0"/>
        <w:numId w:val="1"/>
      </w:numPr>
      <w:spacing w:line="360" w:lineRule="auto"/>
      <w:outlineLvl w:val="0"/>
    </w:pPr>
    <w:rPr>
      <w:rFonts w:ascii="黑体" w:hAnsi="黑体" w:eastAsia="黑体"/>
      <w:bCs/>
      <w:kern w:val="44"/>
      <w:sz w:val="24"/>
      <w:szCs w:val="44"/>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qFormat/>
    <w:uiPriority w:val="0"/>
    <w:pPr>
      <w:jc w:val="left"/>
    </w:pPr>
  </w:style>
  <w:style w:type="paragraph" w:styleId="6">
    <w:name w:val="Body Text"/>
    <w:basedOn w:val="1"/>
    <w:next w:val="7"/>
    <w:link w:val="19"/>
    <w:qFormat/>
    <w:uiPriority w:val="99"/>
    <w:rPr>
      <w:sz w:val="24"/>
      <w:szCs w:val="20"/>
    </w:rPr>
  </w:style>
  <w:style w:type="paragraph" w:styleId="7">
    <w:name w:val="Title"/>
    <w:basedOn w:val="1"/>
    <w:next w:val="1"/>
    <w:qFormat/>
    <w:uiPriority w:val="0"/>
    <w:pPr>
      <w:widowControl/>
      <w:spacing w:before="240" w:after="60" w:line="560" w:lineRule="exact"/>
      <w:jc w:val="center"/>
      <w:outlineLvl w:val="0"/>
    </w:pPr>
    <w:rPr>
      <w:color w:val="000000" w:themeColor="text1"/>
      <w:kern w:val="0"/>
      <w:sz w:val="24"/>
      <w14:textFill>
        <w14:solidFill>
          <w14:schemeClr w14:val="tx1"/>
        </w14:solidFill>
      </w14:textFill>
    </w:rPr>
  </w:style>
  <w:style w:type="paragraph" w:styleId="8">
    <w:name w:val="Body Text Indent"/>
    <w:basedOn w:val="1"/>
    <w:next w:val="9"/>
    <w:link w:val="25"/>
    <w:qFormat/>
    <w:uiPriority w:val="0"/>
    <w:pPr>
      <w:spacing w:after="120"/>
      <w:ind w:left="420" w:leftChars="200"/>
    </w:pPr>
  </w:style>
  <w:style w:type="paragraph" w:styleId="9">
    <w:name w:val="Body Text First Indent 2"/>
    <w:basedOn w:val="8"/>
    <w:link w:val="26"/>
    <w:qFormat/>
    <w:uiPriority w:val="0"/>
    <w:pPr>
      <w:ind w:firstLine="420" w:firstLineChars="200"/>
    </w:pPr>
  </w:style>
  <w:style w:type="paragraph" w:styleId="10">
    <w:name w:val="Balloon Text"/>
    <w:basedOn w:val="1"/>
    <w:link w:val="29"/>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pPr>
      <w:spacing w:line="360" w:lineRule="auto"/>
    </w:pPr>
    <w:rPr>
      <w:rFonts w:ascii="Times New Roman" w:hAnsi="Times New Roman" w:eastAsia="宋体" w:cs="Times New Roman"/>
      <w:sz w:val="24"/>
    </w:rPr>
  </w:style>
  <w:style w:type="paragraph" w:styleId="14">
    <w:name w:val="annotation subject"/>
    <w:basedOn w:val="5"/>
    <w:next w:val="5"/>
    <w:link w:val="31"/>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annotation reference"/>
    <w:basedOn w:val="17"/>
    <w:qFormat/>
    <w:uiPriority w:val="0"/>
    <w:rPr>
      <w:sz w:val="21"/>
      <w:szCs w:val="21"/>
    </w:rPr>
  </w:style>
  <w:style w:type="character" w:customStyle="1" w:styleId="19">
    <w:name w:val="正文文本 字符"/>
    <w:basedOn w:val="17"/>
    <w:link w:val="6"/>
    <w:qFormat/>
    <w:uiPriority w:val="99"/>
    <w:rPr>
      <w:rFonts w:asciiTheme="minorHAnsi" w:hAnsiTheme="minorHAnsi" w:eastAsiaTheme="minorEastAsia" w:cstheme="minorBidi"/>
      <w:kern w:val="2"/>
      <w:sz w:val="24"/>
    </w:rPr>
  </w:style>
  <w:style w:type="paragraph" w:customStyle="1" w:styleId="20">
    <w:name w:val="yq标题2"/>
    <w:basedOn w:val="3"/>
    <w:next w:val="1"/>
    <w:qFormat/>
    <w:uiPriority w:val="0"/>
    <w:pPr>
      <w:widowControl/>
      <w:numPr>
        <w:ilvl w:val="1"/>
        <w:numId w:val="1"/>
      </w:numPr>
      <w:spacing w:before="0" w:after="0" w:line="360" w:lineRule="auto"/>
    </w:pPr>
    <w:rPr>
      <w:rFonts w:ascii="黑体" w:hAnsi="黑体" w:eastAsia="黑体" w:cs="Times New Roman"/>
      <w:b w:val="0"/>
      <w:sz w:val="21"/>
      <w:szCs w:val="21"/>
    </w:rPr>
  </w:style>
  <w:style w:type="paragraph" w:customStyle="1" w:styleId="21">
    <w:name w:val="yp标题4"/>
    <w:basedOn w:val="22"/>
    <w:next w:val="1"/>
    <w:qFormat/>
    <w:uiPriority w:val="0"/>
    <w:pPr>
      <w:numPr>
        <w:ilvl w:val="3"/>
      </w:numPr>
      <w:outlineLvl w:val="3"/>
    </w:pPr>
    <w:rPr>
      <w:color w:val="000000"/>
      <w:shd w:val="clear" w:color="auto" w:fill="FFFFFF"/>
    </w:rPr>
  </w:style>
  <w:style w:type="paragraph" w:customStyle="1" w:styleId="22">
    <w:name w:val="yq标题3"/>
    <w:basedOn w:val="20"/>
    <w:next w:val="1"/>
    <w:qFormat/>
    <w:uiPriority w:val="0"/>
    <w:pPr>
      <w:numPr>
        <w:ilvl w:val="2"/>
      </w:numPr>
      <w:outlineLvl w:val="2"/>
    </w:pPr>
  </w:style>
  <w:style w:type="paragraph" w:customStyle="1" w:styleId="23">
    <w:name w:val="图题"/>
    <w:basedOn w:val="1"/>
    <w:qFormat/>
    <w:uiPriority w:val="0"/>
    <w:pPr>
      <w:spacing w:after="50" w:afterLines="50"/>
      <w:jc w:val="center"/>
    </w:pPr>
    <w:rPr>
      <w:sz w:val="18"/>
    </w:rPr>
  </w:style>
  <w:style w:type="paragraph" w:customStyle="1" w:styleId="24">
    <w:name w:val="表题"/>
    <w:basedOn w:val="1"/>
    <w:qFormat/>
    <w:uiPriority w:val="0"/>
    <w:pPr>
      <w:spacing w:before="50" w:beforeLines="50"/>
      <w:jc w:val="center"/>
    </w:pPr>
    <w:rPr>
      <w:sz w:val="18"/>
    </w:rPr>
  </w:style>
  <w:style w:type="character" w:customStyle="1" w:styleId="25">
    <w:name w:val="正文文本缩进 字符"/>
    <w:basedOn w:val="17"/>
    <w:link w:val="8"/>
    <w:qFormat/>
    <w:uiPriority w:val="0"/>
    <w:rPr>
      <w:rFonts w:asciiTheme="minorHAnsi" w:hAnsiTheme="minorHAnsi" w:eastAsiaTheme="minorEastAsia" w:cstheme="minorBidi"/>
      <w:kern w:val="2"/>
      <w:sz w:val="21"/>
      <w:szCs w:val="24"/>
    </w:rPr>
  </w:style>
  <w:style w:type="character" w:customStyle="1" w:styleId="26">
    <w:name w:val="正文首行缩进 2 字符"/>
    <w:basedOn w:val="25"/>
    <w:link w:val="9"/>
    <w:qFormat/>
    <w:uiPriority w:val="0"/>
    <w:rPr>
      <w:rFonts w:asciiTheme="minorHAnsi" w:hAnsiTheme="minorHAnsi" w:eastAsiaTheme="minorEastAsia" w:cstheme="minorBidi"/>
      <w:kern w:val="2"/>
      <w:sz w:val="21"/>
      <w:szCs w:val="24"/>
    </w:rPr>
  </w:style>
  <w:style w:type="character" w:customStyle="1" w:styleId="27">
    <w:name w:val="批注文字 字符"/>
    <w:basedOn w:val="17"/>
    <w:link w:val="5"/>
    <w:qFormat/>
    <w:uiPriority w:val="0"/>
    <w:rPr>
      <w:rFonts w:asciiTheme="minorHAnsi" w:hAnsiTheme="minorHAnsi" w:eastAsiaTheme="minorEastAsia" w:cstheme="minorBidi"/>
      <w:kern w:val="2"/>
      <w:sz w:val="21"/>
      <w:szCs w:val="24"/>
    </w:rPr>
  </w:style>
  <w:style w:type="paragraph" w:styleId="28">
    <w:name w:val="List Paragraph"/>
    <w:basedOn w:val="1"/>
    <w:qFormat/>
    <w:uiPriority w:val="99"/>
    <w:pPr>
      <w:ind w:firstLine="420" w:firstLineChars="200"/>
    </w:pPr>
  </w:style>
  <w:style w:type="character" w:customStyle="1" w:styleId="29">
    <w:name w:val="批注框文本 字符"/>
    <w:basedOn w:val="17"/>
    <w:link w:val="10"/>
    <w:qFormat/>
    <w:uiPriority w:val="0"/>
    <w:rPr>
      <w:rFonts w:asciiTheme="minorHAnsi" w:hAnsiTheme="minorHAnsi" w:eastAsiaTheme="minorEastAsia" w:cstheme="minorBidi"/>
      <w:kern w:val="2"/>
      <w:sz w:val="18"/>
      <w:szCs w:val="18"/>
    </w:rPr>
  </w:style>
  <w:style w:type="paragraph" w:customStyle="1" w:styleId="30">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1">
    <w:name w:val="批注主题 字符"/>
    <w:basedOn w:val="27"/>
    <w:link w:val="14"/>
    <w:qFormat/>
    <w:uiPriority w:val="0"/>
    <w:rPr>
      <w:rFonts w:asciiTheme="minorHAnsi" w:hAnsiTheme="minorHAnsi" w:eastAsiaTheme="minorEastAsia" w:cstheme="minorBidi"/>
      <w:b/>
      <w:bCs/>
      <w:kern w:val="2"/>
      <w:sz w:val="21"/>
      <w:szCs w:val="24"/>
    </w:rPr>
  </w:style>
  <w:style w:type="paragraph" w:customStyle="1" w:styleId="32">
    <w:name w:val="d1"/>
    <w:basedOn w:val="1"/>
    <w:qFormat/>
    <w:uiPriority w:val="0"/>
    <w:pPr>
      <w:topLinePunct/>
      <w:adjustRightInd w:val="0"/>
      <w:spacing w:line="360" w:lineRule="auto"/>
      <w:jc w:val="center"/>
      <w:textAlignment w:val="center"/>
    </w:pPr>
    <w:rPr>
      <w:rFonts w:ascii="黑体" w:hAnsi="黑体" w:eastAsia="黑体"/>
      <w:kern w:val="21"/>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9eedd236-4160-4b7e-a1de-d82338415015</errorID>
      <errorWord>总   </errorWord>
      <group>L1_Grammar</group>
      <groupName>语法问题</groupName>
      <ability>L2_Grammar</ability>
      <abilityName>语法错误</abilityName>
      <candidateList/>
      <explain/>
      <paraID>50A8A345</paraID>
      <start>0</start>
      <end>4</end>
      <status>unmodified</status>
      <modifiedWord/>
      <trackRevisions>false</trackRevisions>
    </reviewItem>
    <reviewItem>
      <errorID>8770d8a8-fd64-4677-9e6e-5e9a3522d788</errorID>
      <errorWord>则</errorWord>
      <group>L1_Word</group>
      <groupName>字词问题</groupName>
      <ability>L2_Typo</ability>
      <abilityName>字词错误</abilityName>
      <candidateList>
        <item>总则</item>
      </candidateList>
      <explain/>
      <paraID>50A8A345</paraID>
      <start>5</start>
      <end>6</end>
      <status>unmodified</status>
      <modifiedWord/>
      <trackRevisions>false</trackRevisions>
    </reviewItem>
    <reviewItem>
      <errorID>95e0d25a-835a-496d-bc84-dfab02dfa0d0</errorID>
      <errorWord>,</errorWord>
      <group>L1_Format</group>
      <groupName>格式问题</groupName>
      <ability>L2_HalfPunc_CN</ability>
      <abilityName>全半角问题</abilityName>
      <candidateList>
        <item>，</item>
      </candidateList>
      <explain>文本全半角错误。</explain>
      <paraID>4A254436</paraID>
      <start>59</start>
      <end>60</end>
      <status>unmodified</status>
      <modifiedWord/>
      <trackRevisions>false</trackRevisions>
    </reviewItem>
    <reviewItem>
      <errorID>f01565dd-1be4-4f18-a0b9-f7c9fc733e87</errorID>
      <errorWord>术   </errorWord>
      <group>L1_Grammar</group>
      <groupName>语法问题</groupName>
      <ability>L2_Grammar</ability>
      <abilityName>语法错误</abilityName>
      <candidateList/>
      <explain/>
      <paraID>1E93ABE0</paraID>
      <start>0</start>
      <end>4</end>
      <status>unmodified</status>
      <modifiedWord/>
      <trackRevisions>false</trackRevisions>
    </reviewItem>
    <reviewItem>
      <errorID>684a582c-2b3f-46fc-a027-a372966c6f90</errorID>
      <errorWord>语</errorWord>
      <group>L1_Word</group>
      <groupName>字词问题</groupName>
      <ability>L2_Typo</ability>
      <abilityName>字词错误</abilityName>
      <candidateList>
        <item>术语</item>
      </candidateList>
      <explain/>
      <paraID>1E93ABE0</paraID>
      <start>5</start>
      <end>6</end>
      <status>unmodified</status>
      <modifiedWord/>
      <trackRevisions>false</trackRevisions>
    </reviewItem>
    <reviewItem>
      <errorID>f82440a9-f78d-4726-872f-0e072f7d6ac7</errorID>
      <errorWord>出的</errorWord>
      <group>L1_Word</group>
      <groupName>字词问题</groupName>
      <ability>L2_Typo</ability>
      <abilityName>字词错误</abilityName>
      <candidateList>
        <item>出</item>
      </candidateList>
      <explain>〈动〉趋向动词。用在动词后表示向外、显露或完成：看得～｜看不～｜拿～一张纸｜跑～大门｜看～问题｜做～成绩。</explain>
      <paraID>6ED600CD</paraID>
      <start>32</start>
      <end>34</end>
      <status>unmodified</status>
      <modifiedWord/>
      <trackRevisions>false</trackRevisions>
    </reviewItem>
    <reviewItem>
      <errorID>93bc334e-b76f-47d0-ac28-c2366cc4b44b</errorID>
      <errorWord>,</errorWord>
      <group>L1_Format</group>
      <groupName>格式问题</groupName>
      <ability>L2_HalfPunc_CN</ability>
      <abilityName>全半角问题</abilityName>
      <candidateList>
        <item>，</item>
      </candidateList>
      <explain>文本全半角错误。</explain>
      <paraID>665D4B20</paraID>
      <start>94</start>
      <end>95</end>
      <status>unmodified</status>
      <modifiedWord/>
      <trackRevisions>false</trackRevisions>
    </reviewItem>
    <reviewItem>
      <errorID>dc5d7396-4ffc-468b-a00c-a4a3e88314d5</errorID>
      <errorWord>,</errorWord>
      <group>L1_Format</group>
      <groupName>格式问题</groupName>
      <ability>L2_HalfPunc_CN</ability>
      <abilityName>全半角问题</abilityName>
      <candidateList>
        <item>，</item>
      </candidateList>
      <explain>文本全半角错误。</explain>
      <paraID>665D4B20</paraID>
      <start>106</start>
      <end>107</end>
      <status>unmodified</status>
      <modifiedWord/>
      <trackRevisions>false</trackRevisions>
    </reviewItem>
    <reviewItem>
      <errorID>78a1daf2-c428-45da-b80d-76c609f6ccc2</errorID>
      <errorWord>,</errorWord>
      <group>L1_Format</group>
      <groupName>格式问题</groupName>
      <ability>L2_HalfPunc_CN</ability>
      <abilityName>全半角问题</abilityName>
      <candidateList>
        <item>，</item>
      </candidateList>
      <explain>文本全半角错误。</explain>
      <paraID>665D4B20</paraID>
      <start>120</start>
      <end>121</end>
      <status>unmodified</status>
      <modifiedWord/>
      <trackRevisions>false</trackRevisions>
    </reviewItem>
    <reviewItem>
      <errorID>639ee602-a0f5-451a-818a-34c75ee587df</errorID>
      <errorWord>,</errorWord>
      <group>L1_Format</group>
      <groupName>格式问题</groupName>
      <ability>L2_HalfPunc_CN</ability>
      <abilityName>全半角问题</abilityName>
      <candidateList>
        <item>，</item>
      </candidateList>
      <explain>文本全半角错误。</explain>
      <paraID>665D4B20</paraID>
      <start>132</start>
      <end>133</end>
      <status>unmodified</status>
      <modifiedWord/>
      <trackRevisions>false</trackRevisions>
    </reviewItem>
    <reviewItem>
      <errorID>d994c580-b48a-4da4-b5f2-f1f07ef54aad</errorID>
      <errorWord>(</errorWord>
      <group>L1_Format</group>
      <groupName>格式问题</groupName>
      <ability>L2_HalfPunc_CN</ability>
      <abilityName>全半角问题</abilityName>
      <candidateList>
        <item>（</item>
      </candidateList>
      <explain>文本全半角错误。</explain>
      <paraID>5D857F6B</paraID>
      <start>70</start>
      <end>71</end>
      <status>unmodified</status>
      <modifiedWord/>
      <trackRevisions>false</trackRevisions>
    </reviewItem>
    <reviewItem>
      <errorID>8c1d913b-6ee3-44f3-9cfd-2cb74a2cee5e</errorID>
      <errorWord>,</errorWord>
      <group>L1_Format</group>
      <groupName>格式问题</groupName>
      <ability>L2_HalfPunc_CN</ability>
      <abilityName>全半角问题</abilityName>
      <candidateList>
        <item>，</item>
      </candidateList>
      <explain>文本全半角错误。</explain>
      <paraID>5D857F6B</paraID>
      <start>98</start>
      <end>99</end>
      <status>unmodified</status>
      <modifiedWord/>
      <trackRevisions>false</trackRevisions>
    </reviewItem>
    <reviewItem>
      <errorID>5828260a-ef1e-4978-a4fa-d4c5edbb0ca0</errorID>
      <errorWord>)</errorWord>
      <group>L1_Format</group>
      <groupName>格式问题</groupName>
      <ability>L2_HalfPunc_CN</ability>
      <abilityName>全半角问题</abilityName>
      <candidateList>
        <item>）</item>
      </candidateList>
      <explain>文本全半角错误。</explain>
      <paraID>5D857F6B</paraID>
      <start>101</start>
      <end>102</end>
      <status>unmodified</status>
      <modifiedWord/>
      <trackRevisions>false</trackRevisions>
    </reviewItem>
    <reviewItem>
      <errorID>4718a941-3937-4e84-a240-cbcd415e3536</errorID>
      <errorWord>,</errorWord>
      <group>L1_Format</group>
      <groupName>格式问题</groupName>
      <ability>L2_HalfPunc_CN</ability>
      <abilityName>全半角问题</abilityName>
      <candidateList>
        <item>，</item>
      </candidateList>
      <explain>文本全半角错误。</explain>
      <paraID>5D857F6B</paraID>
      <start>111</start>
      <end>112</end>
      <status>unmodified</status>
      <modifiedWord/>
      <trackRevisions>false</trackRevisions>
    </reviewItem>
    <reviewItem>
      <errorID>4f291d1b-632e-4306-99ba-381a8b596640</errorID>
      <errorWord>,</errorWord>
      <group>L1_Format</group>
      <groupName>格式问题</groupName>
      <ability>L2_HalfPunc_CN</ability>
      <abilityName>全半角问题</abilityName>
      <candidateList>
        <item>，</item>
      </candidateList>
      <explain>文本全半角错误。</explain>
      <paraID>5D857F6B</paraID>
      <start>129</start>
      <end>130</end>
      <status>unmodified</status>
      <modifiedWord/>
      <trackRevisions>false</trackRevisions>
    </reviewItem>
    <reviewItem>
      <errorID>5c19e07f-4d84-4923-a452-a9cb05778d1f</errorID>
      <errorWord>,</errorWord>
      <group>L1_Format</group>
      <groupName>格式问题</groupName>
      <ability>L2_HalfPunc_CN</ability>
      <abilityName>全半角问题</abilityName>
      <candidateList>
        <item>，</item>
      </candidateList>
      <explain>文本全半角错误。</explain>
      <paraID>5D857F6B</paraID>
      <start>138</start>
      <end>139</end>
      <status>unmodified</status>
      <modifiedWord/>
      <trackRevisions>false</trackRevisions>
    </reviewItem>
    <reviewItem>
      <errorID>6e85cfb7-e978-4ac5-9ac6-0e79ddc5d554</errorID>
      <errorWord>１</errorWord>
      <group>L1_Format</group>
      <groupName>格式问题</groupName>
      <ability>L2_HalfPunc_CN</ability>
      <abilityName>全半角问题</abilityName>
      <candidateList>
        <item>1</item>
      </candidateList>
      <explain>文本全半角错误。</explain>
      <paraID>529ECF53</paraID>
      <start>1</start>
      <end>2</end>
      <status>unmodified</status>
      <modifiedWord/>
      <trackRevisions>false</trackRevisions>
    </reviewItem>
    <reviewItem>
      <errorID>bcec10a9-5dcb-4571-a2a5-72abf9398973</errorID>
      <errorWord>Ｎ－１</errorWord>
      <group>L1_Word</group>
      <groupName>字词问题</groupName>
      <ability>L2_Typo</ability>
      <abilityName>字词错误</abilityName>
      <candidateList>
        <item>N-1</item>
      </candidateList>
      <explain/>
      <paraID>529ECF53</paraID>
      <start>3</start>
      <end>6</end>
      <status>unmodified</status>
      <modifiedWord/>
      <trackRevisions>false</trackRevisions>
    </reviewItem>
    <reviewItem>
      <errorID>b74bda84-9104-4f1c-89bc-6f65e8eb601e</errorID>
      <errorWord>２</errorWord>
      <group>L1_Format</group>
      <groupName>格式问题</groupName>
      <ability>L2_HalfPunc_CN</ability>
      <abilityName>全半角问题</abilityName>
      <candidateList>
        <item>2</item>
      </candidateList>
      <explain>文本全半角错误。</explain>
      <paraID>24E93CDD</paraID>
      <start>1</start>
      <end>2</end>
      <status>unmodified</status>
      <modifiedWord/>
      <trackRevisions>false</trackRevisions>
    </reviewItem>
    <reviewItem>
      <errorID>6674b2ec-e708-40b3-825d-0f5905411682</errorID>
      <errorWord>Ｎ－１</errorWord>
      <group>L1_Word</group>
      <groupName>字词问题</groupName>
      <ability>L2_Typo</ability>
      <abilityName>字词错误</abilityName>
      <candidateList>
        <item>N-1</item>
      </candidateList>
      <explain/>
      <paraID>24E93CDD</paraID>
      <start>44</start>
      <end>47</end>
      <status>unmodified</status>
      <modifiedWord/>
      <trackRevisions>false</trackRevisions>
    </reviewItem>
    <reviewItem>
      <errorID>242eebf3-4154-4adf-b9b8-36bacd4cda22</errorID>
      <errorWord>,</errorWord>
      <group>L1_Format</group>
      <groupName>格式问题</groupName>
      <ability>L2_HalfPunc_CN</ability>
      <abilityName>全半角问题</abilityName>
      <candidateList>
        <item>，</item>
      </candidateList>
      <explain>文本全半角错误。</explain>
      <paraID>6532EF2B</paraID>
      <start>85</start>
      <end>86</end>
      <status>unmodified</status>
      <modifiedWord/>
      <trackRevisions>false</trackRevisions>
    </reviewItem>
    <reviewItem>
      <errorID>f48c2137-67d5-475d-849f-643a6d8e6831</errorID>
      <errorWord>,</errorWord>
      <group>L1_Format</group>
      <groupName>格式问题</groupName>
      <ability>L2_HalfPunc_CN</ability>
      <abilityName>全半角问题</abilityName>
      <candidateList>
        <item>，</item>
      </candidateList>
      <explain>文本全半角错误。</explain>
      <paraID>3315D0EA</paraID>
      <start>119</start>
      <end>120</end>
      <status>unmodified</status>
      <modifiedWord/>
      <trackRevisions>false</trackRevisions>
    </reviewItem>
    <reviewItem>
      <errorID>c08e5dd4-6ef7-4127-9e99-f6abf572f8ad</errorID>
      <errorWord>hort cirenit ratio</errorWord>
      <group>L1_Other</group>
      <groupName>其他问题</groupName>
      <ability>L2_Consistency</ability>
      <abilityName>一致性检查</abilityName>
      <candidateList>
        <item>short circuit ratio</item>
      </candidateList>
      <explain>术语一致性问题，‘hort cirenit ratio’拼写错误，应与前文‘short circuit ratio’保持一致</explain>
      <paraID>4A613444</paraID>
      <start>47</start>
      <end>65</end>
      <status>unmodified</status>
      <modifiedWord/>
      <trackRevisions>false</trackRevisions>
    </reviewItem>
    <reviewItem>
      <errorID>467c7e3c-dac6-408a-81b8-c6f4ac955007</errorID>
      <errorWord>至少2回特高压直流线路或至少5回500千伏及以上</errorWord>
      <group>L1_Grammar</group>
      <groupName>语法问题</groupName>
      <ability>L2_Grammar</ability>
      <abilityName>语法错误</abilityName>
      <candidateList>
        <item>至少2回特高压直流线路或至少5回500千伏及</item>
      </candidateList>
      <explain>该表达中的“至少2回特高压直流线路或至少5回500千伏及以上”存在语义重复。</explain>
      <paraID>2FFB4D7D</paraID>
      <start>19</start>
      <end>43</end>
      <status>unmodified</status>
      <modifiedWord/>
      <trackRevisions>false</trackRevisions>
    </reviewItem>
    <reviewItem>
      <errorID>7d85342b-5ef3-4b7b-95a9-9038629d9cce</errorID>
      <errorWord>基本</errorWord>
      <group>L1_Punc</group>
      <groupName>标点问题</groupName>
      <ability>L2_Punc_CN</ability>
      <abilityName>标点符号问题</abilityName>
      <candidateList>
        <item>. 基本</item>
      </candidateList>
      <explain/>
      <paraID> B48F49E</paraID>
      <start>0</start>
      <end>2</end>
      <status>unmodified</status>
      <modifiedWord/>
      <trackRevisions>false</trackRevisions>
    </reviewItem>
    <reviewItem>
      <errorID>be16bf79-9e89-4a7e-9717-1def3ba61ebe</errorID>
      <errorWord>T5553</errorWord>
      <group>L1_Word</group>
      <groupName>字词问题</groupName>
      <ability>L2_Typo</ability>
      <abilityName>字词错误</abilityName>
      <candidateList>
        <item>T 5553</item>
      </candidateList>
      <explain/>
      <paraID>38B01116</paraID>
      <start>21</start>
      <end>26</end>
      <status>unmodified</status>
      <modifiedWord/>
      <trackRevisions>false</trackRevisions>
    </reviewItem>
    <reviewItem>
      <errorID>21bf7044-c813-4048-a728-f967e0dfd7f0</errorID>
      <errorWord>电力系统</errorWord>
      <group>L1_Word</group>
      <groupName>字词问题</groupName>
      <ability>L2_Typo</ability>
      <abilityName>字词错误</abilityName>
      <candidateList>
        <item> 电力系统</item>
      </candidateList>
      <explain/>
      <paraID>38B01116</paraID>
      <start>37</start>
      <end>41</end>
      <status>unmodified</status>
      <modifiedWord/>
      <trackRevisions>false</trackRevisions>
    </reviewItem>
    <reviewItem>
      <errorID>11d0b2d9-66fb-4aeb-a406-c0dd89facf59</errorID>
      <errorWord>校核</errorWord>
      <group>L1_Punc</group>
      <groupName>标点问题</groupName>
      <ability>L2_Punc_CN</ability>
      <abilityName>标点符号问题</abilityName>
      <candidateList>
        <item>，校核</item>
      </candidateList>
      <explain/>
      <paraID>38B01116</paraID>
      <start>61</start>
      <end>63</end>
      <status>unmodified</status>
      <modifiedWord/>
      <trackRevisions>false</trackRevisions>
    </reviewItem>
    <reviewItem>
      <errorID>09812b41-2c27-4be1-b97f-c9fb2760e395</errorID>
      <errorWord>,</errorWord>
      <group>L1_Format</group>
      <groupName>格式问题</groupName>
      <ability>L2_HalfPunc_CN</ability>
      <abilityName>全半角问题</abilityName>
      <candidateList>
        <item>，</item>
      </candidateList>
      <explain>文本全半角错误。</explain>
      <paraID>38B01116</paraID>
      <start>73</start>
      <end>74</end>
      <status>unmodified</status>
      <modifiedWord/>
      <trackRevisions>false</trackRevisions>
    </reviewItem>
    <reviewItem>
      <errorID>c3805c36-da80-4c56-9d2e-e69bd669797f</errorID>
      <errorWord>:</errorWord>
      <group>L1_Punc</group>
      <groupName>标点问题</groupName>
      <ability>L2_Punc_CN</ability>
      <abilityName>标点符号问题</abilityName>
      <candidateList>
        <item>：</item>
      </candidateList>
      <explain/>
      <paraID> A8E8CEB</paraID>
      <start>54</start>
      <end>55</end>
      <status>unmodified</status>
      <modifiedWord/>
      <trackRevisions>false</trackRevisions>
    </reviewItem>
    <reviewItem>
      <errorID>0c1830d6-07de-4d63-a253-cfaf991919d4</errorID>
      <errorWord>计算</errorWord>
      <group>L1_Grammar</group>
      <groupName>语法问题</groupName>
      <ability>L2_Grammar</ability>
      <abilityName>语法错误</abilityName>
      <candidateList>
        <item>计算、短路电流计算</item>
      </candidateList>
      <explain/>
      <paraID> A8E8CEB</paraID>
      <start>57</start>
      <end>59</end>
      <status>unmodified</status>
      <modifiedWord/>
      <trackRevisions>false</trackRevisions>
    </reviewItem>
    <reviewItem>
      <errorID>413bbabe-b1be-4a09-9c00-7d1fc5a4fcb8</errorID>
      <errorWord>调相调压</errorWord>
      <group>L1_Word</group>
      <groupName>字词问题</groupName>
      <ability>L2_Typo</ability>
      <abilityName>字词错误</abilityName>
      <candidateList>
        <item>无功补偿</item>
      </candidateList>
      <explain/>
      <paraID> A8E8CEB</paraID>
      <start>65</start>
      <end>69</end>
      <status>unmodified</status>
      <modifiedWord/>
      <trackRevisions>false</trackRevisions>
    </reviewItem>
    <reviewItem>
      <errorID>318c09a2-7d8e-4e26-9d03-19396ebd9a86</errorID>
      <errorWord>工频过电压</errorWord>
      <group>L1_Word</group>
      <groupName>字词问题</groupName>
      <ability>L2_Typo</ability>
      <abilityName>字词错误</abilityName>
      <candidateList>
        <item>调相调压</item>
      </candidateList>
      <explain/>
      <paraID> A8E8CEB</paraID>
      <start>72</start>
      <end>77</end>
      <status>unmodified</status>
      <modifiedWord/>
      <trackRevisions>false</trackRevisions>
    </reviewItem>
    <reviewItem>
      <errorID>a1a6b1aa-d1ae-40e2-b6a7-0a01bf46dbf0</errorID>
      <errorWord>潜供电流计算、短路</errorWord>
      <group>L1_Word</group>
      <groupName>字词问题</groupName>
      <ability>L2_Typo</ability>
      <abilityName>字词错误</abilityName>
      <candidateList>
        <item>工频过电压及潜供</item>
      </candidateList>
      <explain/>
      <paraID> A8E8CEB</paraID>
      <start>80</start>
      <end>89</end>
      <status>unmodified</status>
      <modifiedWord/>
      <trackRevisions>false</trackRevisions>
    </reviewItem>
    <reviewItem>
      <errorID>0c0dd567-499e-4a3e-adcc-be41cdbecc63</errorID>
      <errorWord>电力系统</errorWord>
      <group>L1_Word</group>
      <groupName>字词问题</groupName>
      <ability>L2_Typo</ability>
      <abilityName>字词错误</abilityName>
      <candidateList>
        <item> 电力系统</item>
      </candidateList>
      <explain/>
      <paraID>54C370BB</paraID>
      <start>38</start>
      <end>42</end>
      <status>unmodified</status>
      <modifiedWord/>
      <trackRevisions>false</trackRevisions>
    </reviewItem>
    <reviewItem>
      <errorID>2d8933fb-3e41-4f6d-b648-5de894f55c21</errorID>
      <errorWord>:</errorWord>
      <group>L1_Format</group>
      <groupName>格式问题</groupName>
      <ability>L2_HalfPunc_CN</ability>
      <abilityName>全半角问题</abilityName>
      <candidateList>
        <item>：</item>
      </candidateList>
      <explain>文本全半角错误。</explain>
      <paraID>54C370BB</paraID>
      <start>65</start>
      <end>66</end>
      <status>unmodified</status>
      <modifiedWord/>
      <trackRevisions>false</trackRevisions>
    </reviewItem>
    <reviewItem>
      <errorID>06c579fb-6347-440c-a87d-8efb2484ae5c</errorID>
      <errorWord>(5年)</errorWord>
      <group>L1_Punc</group>
      <groupName>标点问题</groupName>
      <ability>L2_Punc_CN</ability>
      <abilityName>标点符号问题</abilityName>
      <candidateList>
        <item>（5年及以内）</item>
      </candidateList>
      <explain/>
      <paraID>49D0B658</paraID>
      <start>6</start>
      <end>10</end>
      <status>unmodified</status>
      <modifiedWord/>
      <trackRevisions>false</trackRevisions>
    </reviewItem>
    <reviewItem>
      <errorID>ffbcb8a4-47bf-4fda-9c94-07b97601455c</errorID>
      <errorWord>,</errorWord>
      <group>L1_Punc</group>
      <groupName>标点问题</groupName>
      <ability>L2_Punc_CN</ability>
      <abilityName>标点符号问题</abilityName>
      <candidateList>
        <item>，</item>
      </candidateList>
      <explain/>
      <paraID>49D0B658</paraID>
      <start>30</start>
      <end>31</end>
      <status>unmodified</status>
      <modifiedWord/>
      <trackRevisions>false</trackRevisions>
    </reviewItem>
    <reviewItem>
      <errorID>fc79b9e1-562d-40f6-8ab1-727a662fe066</errorID>
      <errorWord>;</errorWord>
      <group>L1_Format</group>
      <groupName>格式问题</groupName>
      <ability>L2_HalfPunc_CN</ability>
      <abilityName>全半角问题</abilityName>
      <candidateList>
        <item>；</item>
      </candidateList>
      <explain>文本全半角错误。</explain>
      <paraID>49D0B658</paraID>
      <start>53</start>
      <end>54</end>
      <status>unmodified</status>
      <modifiedWord/>
      <trackRevisions>false</trackRevisions>
    </reviewItem>
    <reviewItem>
      <errorID>2dad392f-b638-41df-8088-c7dee2849340</errorID>
      <errorWord>中期</errorWord>
      <group>L1_Word</group>
      <groupName>字词问题</groupName>
      <ability>L2_Typo</ability>
      <abilityName>字词错误</abilityName>
      <candidateList>
        <item> 中期</item>
      </candidateList>
      <explain/>
      <paraID>4718E3F6</paraID>
      <start>1</start>
      <end>3</end>
      <status>unmodified</status>
      <modifiedWord/>
      <trackRevisions>false</trackRevisions>
    </reviewItem>
    <reviewItem>
      <errorID>2511ba57-6b38-49a4-8aab-f012c7568e71</errorID>
      <errorWord>(</errorWord>
      <group>L1_Format</group>
      <groupName>格式问题</groupName>
      <ability>L2_HalfPunc_CN</ability>
      <abilityName>全半角问题</abilityName>
      <candidateList>
        <item>（</item>
      </candidateList>
      <explain>文本全半角错误。</explain>
      <paraID>4718E3F6</paraID>
      <start>5</start>
      <end>6</end>
      <status>unmodified</status>
      <modifiedWord/>
      <trackRevisions>false</trackRevisions>
    </reviewItem>
    <reviewItem>
      <errorID>fdee8b96-82b1-4358-bc98-a9bf78980da9</errorID>
      <errorWord>~</errorWord>
      <group>L1_Format</group>
      <groupName>格式问题</groupName>
      <ability>L2_HalfPunc_CN</ability>
      <abilityName>全半角问题</abilityName>
      <candidateList>
        <item>～</item>
      </candidateList>
      <explain>文本全半角错误。</explain>
      <paraID>4718E3F6</paraID>
      <start>8</start>
      <end>9</end>
      <status>unmodified</status>
      <modifiedWord/>
      <trackRevisions>false</trackRevisions>
    </reviewItem>
    <reviewItem>
      <errorID>c05822e3-05e0-421b-b5c3-a09c511f9fb7</errorID>
      <errorWord>)</errorWord>
      <group>L1_Punc</group>
      <groupName>标点问题</groupName>
      <ability>L2_Punc_CN</ability>
      <abilityName>标点符号问题</abilityName>
      <candidateList>
        <item>）</item>
      </candidateList>
      <explain/>
      <paraID>4718E3F6</paraID>
      <start>12</start>
      <end>13</end>
      <status>unmodified</status>
      <modifiedWord/>
      <trackRevisions>false</trackRevisions>
    </reviewItem>
    <reviewItem>
      <errorID>07b5d158-7308-4c5f-96cc-f89e7d01cda7</errorID>
      <errorWord>,</errorWord>
      <group>L1_Punc</group>
      <groupName>标点问题</groupName>
      <ability>L2_Punc_CN</ability>
      <abilityName>标点符号问题</abilityName>
      <candidateList>
        <item>，</item>
      </candidateList>
      <explain/>
      <paraID>4718E3F6</paraID>
      <start>28</start>
      <end>29</end>
      <status>unmodified</status>
      <modifiedWord/>
      <trackRevisions>false</trackRevisions>
    </reviewItem>
    <reviewItem>
      <errorID>f6930d35-f3f2-41d9-9602-117b42f109d7</errorID>
      <errorWord>;</errorWord>
      <group>L1_Punc</group>
      <groupName>标点问题</groupName>
      <ability>L2_Punc_CN</ability>
      <abilityName>标点符号问题</abilityName>
      <candidateList>
        <item>；</item>
      </candidateList>
      <explain/>
      <paraID>4718E3F6</paraID>
      <start>40</start>
      <end>41</end>
      <status>unmodified</status>
      <modifiedWord/>
      <trackRevisions>false</trackRevisions>
    </reviewItem>
    <reviewItem>
      <errorID>b80f285c-9199-4880-8a91-d7bacbbd14c6</errorID>
      <errorWord>(15年以上)</errorWord>
      <group>L1_Punc</group>
      <groupName>标点问题</groupName>
      <ability>L2_Punc_CN</ability>
      <abilityName>标点符号问题</abilityName>
      <candidateList>
        <item>（15年以上）</item>
      </candidateList>
      <explain/>
      <paraID>553857CD</paraID>
      <start>6</start>
      <end>13</end>
      <status>unmodified</status>
      <modifiedWord/>
      <trackRevisions>false</trackRevisions>
    </reviewItem>
    <reviewItem>
      <errorID>20cc61e3-ac0c-4554-ba14-5e4dab65f29f</errorID>
      <errorWord>;</errorWord>
      <group>L1_Format</group>
      <groupName>格式问题</groupName>
      <ability>L2_HalfPunc_CN</ability>
      <abilityName>全半角问题</abilityName>
      <candidateList>
        <item>；</item>
      </candidateList>
      <explain>文本全半角错误。</explain>
      <paraID>553857CD</paraID>
      <start>33</start>
      <end>34</end>
      <status>unmodified</status>
      <modifiedWord/>
      <trackRevisions>false</trackRevisions>
    </reviewItem>
    <reviewItem>
      <errorID>6e74d110-92de-4c51-b42b-28fc8122453d</errorID>
      <errorWord>工程设计</errorWord>
      <group>L1_Word</group>
      <groupName>字词问题</groupName>
      <ability>L2_Typo</ability>
      <abilityName>字词错误</abilityName>
      <candidateList>
        <item> 工程设计</item>
      </candidateList>
      <explain/>
      <paraID>5AFEDB72</paraID>
      <start>1</start>
      <end>5</end>
      <status>unmodified</status>
      <modifiedWord/>
      <trackRevisions>false</trackRevisions>
    </reviewItem>
    <reviewItem>
      <errorID>a50a65a2-218a-4286-a62b-fe48eae3c307</errorID>
      <errorWord>规定</errorWord>
      <group>L1_Punc</group>
      <groupName>标点问题</groupName>
      <ability>L2_Punc_CN</ability>
      <abilityName>标点符号问题</abilityName>
      <candidateList>
        <item>规定；</item>
      </candidateList>
      <explain/>
      <paraID>5AFEDB72</paraID>
      <start>22</start>
      <end>24</end>
      <status>unmodified</status>
      <modifiedWord/>
      <trackRevisions>false</trackRevisions>
    </reviewItem>
    <reviewItem>
      <errorID>9a8bacf8-c9c0-420c-b582-2b6130e736f8</errorID>
      <errorWord>电力系统</errorWord>
      <group>L1_Word</group>
      <groupName>字词问题</groupName>
      <ability>L2_Typo</ability>
      <abilityName>字词错误</abilityName>
      <candidateList>
        <item> 电力系统</item>
      </candidateList>
      <explain/>
      <paraID>61D263E1</paraID>
      <start>1</start>
      <end>5</end>
      <status>unmodified</status>
      <modifiedWord/>
      <trackRevisions>false</trackRevisions>
    </reviewItem>
    <reviewItem>
      <errorID>372c7aac-9181-4dff-b0fd-1be65ebef4c1</errorID>
      <errorWord>。</errorWord>
      <group>L1_Punc</group>
      <groupName>标点问题</groupName>
      <ability>L2_Punc_CN</ability>
      <abilityName>标点符号问题</abilityName>
      <candidateList>
        <item>；</item>
      </candidateList>
      <explain/>
      <paraID>61D263E1</paraID>
      <start>26</start>
      <end>27</end>
      <status>unmodified</status>
      <modifiedWord/>
      <trackRevisions>false</trackRevisions>
    </reviewItem>
    <reviewItem>
      <errorID>e3093a80-9f61-48f3-a91e-8f142983d23e</errorID>
      <errorWord>5</errorWord>
      <group>L1_Word</group>
      <groupName>字词问题</groupName>
      <ability>L2_Typo</ability>
      <abilityName>字词错误</abilityName>
      <candidateList>
        <item>4 </item>
      </candidateList>
      <explain/>
      <paraID> E37F0C3</paraID>
      <start>36</start>
      <end>37</end>
      <status>unmodified</status>
      <modifiedWord/>
      <trackRevisions>false</trackRevisions>
    </reviewItem>
    <reviewItem>
      <errorID>357a606e-e887-4115-8322-01ec9457b5f2</errorID>
      <errorWord>,</errorWord>
      <group>L1_Format</group>
      <groupName>格式问题</groupName>
      <ability>L2_HalfPunc_CN</ability>
      <abilityName>全半角问题</abilityName>
      <candidateList>
        <item>，</item>
      </candidateList>
      <explain>文本全半角错误。</explain>
      <paraID> E37F0C3</paraID>
      <start>47</start>
      <end>48</end>
      <status>unmodified</status>
      <modifiedWord/>
      <trackRevisions>false</trackRevisions>
    </reviewItem>
    <reviewItem>
      <errorID>462a488b-3bb5-4dac-8d17-65fae45f3c3d</errorID>
      <errorWord>电网</errorWord>
      <group>L1_Word</group>
      <groupName>字词问题</groupName>
      <ability>L2_Typo</ability>
      <abilityName>字词错误</abilityName>
      <candidateList>
        <item> 电网</item>
      </candidateList>
      <explain/>
      <paraID>276780F6</paraID>
      <start>0</start>
      <end>2</end>
      <status>unmodified</status>
      <modifiedWord/>
      <trackRevisions>false</trackRevisions>
    </reviewItem>
    <reviewItem>
      <errorID>7918032c-4b9a-4a94-b5d0-e05a1aba3f71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276780F6</paraID>
      <start>62</start>
      <end>65</end>
      <status>unmodified</status>
      <modifiedWord/>
      <trackRevisions>false</trackRevisions>
    </reviewItem>
    <reviewItem>
      <errorID>db9518c9-964b-44ec-baa7-b7adb56d1125</errorID>
      <errorWord>电网</errorWord>
      <group>L1_Word</group>
      <groupName>字词问题</groupName>
      <ability>L2_Typo</ability>
      <abilityName>字词错误</abilityName>
      <candidateList>
        <item> 电网</item>
      </candidateList>
      <explain/>
      <paraID>26653DDD</paraID>
      <start>45</start>
      <end>47</end>
      <status>unmodified</status>
      <modifiedWord/>
      <trackRevisions>false</trackRevisions>
    </reviewItem>
    <reviewItem>
      <errorID>03fba0a5-1401-4252-8788-9bf48830115b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26653DDD</paraID>
      <start>107</start>
      <end>110</end>
      <status>unmodified</status>
      <modifiedWord/>
      <trackRevisions>false</trackRevisions>
    </reviewItem>
    <reviewItem>
      <errorID>95137984-e264-4808-bd9b-3bd1ff8b9729</errorID>
      <errorWord>在</errorWord>
      <group>L1_Word</group>
      <groupName>字词问题</groupName>
      <ability>L2_Typo</ability>
      <abilityName>字词错误</abilityName>
      <candidateList>
        <item> 在</item>
      </candidateList>
      <explain/>
      <paraID>64BF8F3F</paraID>
      <start>0</start>
      <end>1</end>
      <status>unmodified</status>
      <modifiedWord/>
      <trackRevisions>false</trackRevisions>
    </reviewItem>
    <reviewItem>
      <errorID>b16973a8-632d-4d7d-81d3-7444a097e0fb</errorID>
      <errorWord>稳定</errorWord>
      <group>L1_Word</group>
      <groupName>字词问题</groupName>
      <ability>L2_Typo</ability>
      <abilityName>字词错误</abilityName>
      <candidateList>
        <item> 稳定</item>
      </candidateList>
      <explain/>
      <paraID>3986D0B7</paraID>
      <start>45</start>
      <end>47</end>
      <status>unmodified</status>
      <modifiedWord/>
      <trackRevisions>false</trackRevisions>
    </reviewItem>
    <reviewItem>
      <errorID>9a19368d-8073-4e91-9964-7763b5bdd578</errorID>
      <errorWord>-</errorWord>
      <group>L1_Format</group>
      <groupName>格式问题</groupName>
      <ability>L2_HalfPunc_CN</ability>
      <abilityName>全半角问题</abilityName>
      <candidateList>
        <item>－</item>
      </candidateList>
      <explain>文本全半角错误。</explain>
      <paraID>3986D0B7</paraID>
      <start>66</start>
      <end>67</end>
      <status>unmodified</status>
      <modifiedWord/>
      <trackRevisions>false</trackRevisions>
    </reviewItem>
    <reviewItem>
      <errorID>a61871aa-eab9-43aa-ac5e-65f7737c73f0</errorID>
      <errorWord>计算</errorWord>
      <group>L1_Word</group>
      <groupName>字词问题</groupName>
      <ability>L2_Typo</ability>
      <abilityName>字词错误</abilityName>
      <candidateList>
        <item> 计算</item>
      </candidateList>
      <explain/>
      <paraID>7CE6AFD2</paraID>
      <start>0</start>
      <end>2</end>
      <status>unmodified</status>
      <modifiedWord/>
      <trackRevisions>false</trackRevisions>
    </reviewItem>
    <reviewItem>
      <errorID>20c16c96-08c8-4f1f-8a65-4941968ec8d3</errorID>
      <errorWord>一般</errorWord>
      <group>L1_Word</group>
      <groupName>字词问题</groupName>
      <ability>L2_Typo</ability>
      <abilityName>字词错误</abilityName>
      <candidateList>
        <item> 一般</item>
      </candidateList>
      <explain/>
      <paraID>38F4020D</paraID>
      <start>0</start>
      <end>2</end>
      <status>unmodified</status>
      <modifiedWord/>
      <trackRevisions>false</trackRevisions>
    </reviewItem>
    <reviewItem>
      <errorID>4e93916f-5c2f-4eb8-b772-3d4ed96d5835</errorID>
      <errorWord>电气</errorWord>
      <group>L1_Word</group>
      <groupName>字词问题</groupName>
      <ability>L2_Typo</ability>
      <abilityName>字词错误</abilityName>
      <candidateList>
        <item> 电气</item>
      </candidateList>
      <explain/>
      <paraID> 3FF82D2</paraID>
      <start>0</start>
      <end>2</end>
      <status>unmodified</status>
      <modifiedWord/>
      <trackRevisions>false</trackRevisions>
    </reviewItem>
    <reviewItem>
      <errorID>ecb1d6ea-d47b-473c-8b92-b8005e249c30</errorID>
      <errorWord>。】</errorWord>
      <group>L1_Punc</group>
      <groupName>标点问题</groupName>
      <ability>L2_Punc_CN</ability>
      <abilityName>标点符号问题</abilityName>
      <candidateList>
        <item>】</item>
      </candidateList>
      <explain/>
      <paraID> DCDF843</paraID>
      <start>146</start>
      <end>148</end>
      <status>unmodified</status>
      <modifiedWord/>
      <trackRevisions>false</trackRevisions>
    </reviewItem>
    <reviewItem>
      <errorID>4a743ece-396d-44af-9eeb-193843a9467b</errorID>
      <errorWord>潮流</errorWord>
      <group>L1_Punc</group>
      <groupName>标点问题</groupName>
      <ability>L2_Punc_CN</ability>
      <abilityName>标点符号问题</abilityName>
      <candidateList>
        <item>. 潮流</item>
      </candidateList>
      <explain/>
      <paraID>21EDF6C1</paraID>
      <start>0</start>
      <end>2</end>
      <status>unmodified</status>
      <modifiedWord/>
      <trackRevisions>false</trackRevisions>
    </reviewItem>
    <reviewItem>
      <errorID>3a5005f0-0cb2-430d-a17c-6dfed2e0eb9b</errorID>
      <errorWord>计算</errorWord>
      <group>L1_Punc</group>
      <groupName>标点问题</groupName>
      <ability>L2_Punc_CN</ability>
      <abilityName>标点符号问题</abilityName>
      <candidateList>
        <item>. 计算</item>
      </candidateList>
      <explain/>
      <paraID>65F69CE7</paraID>
      <start>0</start>
      <end>2</end>
      <status>unmodified</status>
      <modifiedWord/>
      <trackRevisions>false</trackRevisions>
    </reviewItem>
    <reviewItem>
      <errorID>25a90abb-917d-4553-8666-f3a3de42096a</errorID>
      <errorWord>，</errorWord>
      <group>L1_Punc</group>
      <groupName>标点问题</groupName>
      <ability>L2_Punc_CN</ability>
      <abilityName>标点符号问题</abilityName>
      <candidateList>
        <item>、</item>
      </candidateList>
      <explain/>
      <paraID>37FE5EF0</paraID>
      <start>16</start>
      <end>17</end>
      <status>unmodified</status>
      <modifiedWord/>
      <trackRevisions>false</trackRevisions>
    </reviewItem>
    <reviewItem>
      <errorID>10e01867-01f0-45b5-8195-1798186bd303</errorID>
      <errorWord>深圳</errorWord>
      <group>L1_Punc</group>
      <groupName>标点问题</groupName>
      <ability>L2_Punc_CN</ability>
      <abilityName>标点符号问题</abilityName>
      <candidateList>
        <item>. 深圳</item>
      </candidateList>
      <explain/>
      <paraID>3B246900</paraID>
      <start>0</start>
      <end>2</end>
      <status>unmodified</status>
      <modifiedWord/>
      <trackRevisions>false</trackRevisions>
    </reviewItem>
    <reviewItem>
      <errorID>543a4a5a-2d71-430a-a0dd-a4b6ac5de24f</errorID>
      <errorWord>应对</errorWord>
      <group>L1_Punc</group>
      <groupName>标点问题</groupName>
      <ability>L2_Punc_CN</ability>
      <abilityName>标点符号问题</abilityName>
      <candidateList>
        <item>. 应对</item>
      </candidateList>
      <explain/>
      <paraID>5A11DFA0</paraID>
      <start>0</start>
      <end>2</end>
      <status>unmodified</status>
      <modifiedWord/>
      <trackRevisions>false</trackRevisions>
    </reviewItem>
    <reviewItem>
      <errorID>98ced7ba-7038-4908-895f-c44b87d25b8d</errorID>
      <errorWord>独立</errorWord>
      <group>L1_Punc</group>
      <groupName>标点问题</groupName>
      <ability>L2_Punc_CN</ability>
      <abilityName>标点符号问题</abilityName>
      <candidateList>
        <item>. 独立</item>
      </candidateList>
      <explain/>
      <paraID>6A67E644</paraID>
      <start>0</start>
      <end>2</end>
      <status>unmodified</status>
      <modifiedWord/>
      <trackRevisions>false</trackRevisions>
    </reviewItem>
    <reviewItem>
      <errorID>1d5e4a3f-ee31-435c-a159-6705f54468bb</errorID>
      <errorWord>对于</errorWord>
      <group>L1_Punc</group>
      <groupName>标点问题</groupName>
      <ability>L2_Punc_CN</ability>
      <abilityName>标点符号问题</abilityName>
      <candidateList>
        <item>. 对于</item>
      </candidateList>
      <explain/>
      <paraID>3C2BCA1D</paraID>
      <start>0</start>
      <end>2</end>
      <status>unmodified</status>
      <modifiedWord/>
      <trackRevisions>false</trackRevisions>
    </reviewItem>
    <reviewItem>
      <errorID>67e3ea90-ed45-40c4-a146-0181fa857d2a</errorID>
      <errorWord>系统</errorWord>
      <group>L1_Punc</group>
      <groupName>标点问题</groupName>
      <ability>L2_Punc_CN</ability>
      <abilityName>标点符号问题</abilityName>
      <candidateList>
        <item>. 系统</item>
      </candidateList>
      <explain/>
      <paraID>37FBC4C1</paraID>
      <start>0</start>
      <end>2</end>
      <status>unmodified</status>
      <modifiedWord/>
      <trackRevisions>false</trackRevisions>
    </reviewItem>
    <reviewItem>
      <errorID>49285baf-4a6c-49d4-acf9-46b9f0e4046b</errorID>
      <errorWord>计算结果</errorWord>
      <group>L1_Punc</group>
      <groupName>标点问题</groupName>
      <ability>L2_Punc_CN</ability>
      <abilityName>标点符号问题</abilityName>
      <candidateList>
        <item>. 计算结果</item>
      </candidateList>
      <explain/>
      <paraID>529F3D45</paraID>
      <start>0</start>
      <end>4</end>
      <status>unmodified</status>
      <modifiedWord/>
      <trackRevisions>false</trackRevisions>
    </reviewItem>
    <reviewItem>
      <errorID>2eb557db-f15c-4172-84df-e68ab0670d02</errorID>
      <errorWord>正常</errorWord>
      <group>L1_Punc</group>
      <groupName>标点问题</groupName>
      <ability>L2_Punc_CN</ability>
      <abilityName>标点符号问题</abilityName>
      <candidateList>
        <item>. 正常</item>
      </candidateList>
      <explain/>
      <paraID>5C35B996</paraID>
      <start>0</start>
      <end>2</end>
      <status>unmodified</status>
      <modifiedWord/>
      <trackRevisions>false</trackRevisions>
    </reviewItem>
    <reviewItem>
      <errorID>541025ef-eacf-4f9e-a858-9b16edd2551e</errorID>
      <errorWord>作为</errorWord>
      <group>L1_Punc</group>
      <groupName>标点问题</groupName>
      <ability>L2_Punc_CN</ability>
      <abilityName>标点符号问题</abilityName>
      <candidateList>
        <item>. 作为</item>
      </candidateList>
      <explain/>
      <paraID> 1A63E8C</paraID>
      <start>0</start>
      <end>2</end>
      <status>unmodified</status>
      <modifiedWord/>
      <trackRevisions>false</trackRevisions>
    </reviewItem>
    <reviewItem>
      <errorID>bc7e1e7f-4d83-402f-a966-c4c4fa2c3fc2</errorID>
      <errorWord>短路</errorWord>
      <group>L1_Punc</group>
      <groupName>标点问题</groupName>
      <ability>L2_Punc_CN</ability>
      <abilityName>标点符号问题</abilityName>
      <candidateList>
        <item>. 短路</item>
      </candidateList>
      <explain/>
      <paraID>26F375F2</paraID>
      <start>0</start>
      <end>2</end>
      <status>unmodified</status>
      <modifiedWord/>
      <trackRevisions>false</trackRevisions>
    </reviewItem>
    <reviewItem>
      <errorID>5c724798-2f3e-4ddc-be77-e2543a03ee30</errorID>
      <errorWord>研究</errorWord>
      <group>L1_Punc</group>
      <groupName>标点问题</groupName>
      <ability>L2_Punc_CN</ability>
      <abilityName>标点符号问题</abilityName>
      <candidateList>
        <item>. 研究</item>
      </candidateList>
      <explain/>
      <paraID>5F3A2B79</paraID>
      <start>37</start>
      <end>39</end>
      <status>unmodified</status>
      <modifiedWord/>
      <trackRevisions>false</trackRevisions>
    </reviewItem>
    <reviewItem>
      <errorID>da23fbd2-6a3b-4818-9121-592fa3fbd53b</errorID>
      <errorWord> </errorWord>
      <group>L1_Punc</group>
      <groupName>标点问题</groupName>
      <ability>L2_Punc_CN</ability>
      <abilityName>标点符号问题</abilityName>
      <candidateList>
        <item>. </item>
      </candidateList>
      <explain/>
      <paraID>4FAABB6A</paraID>
      <start>1</start>
      <end>2</end>
      <status>unmodified</status>
      <modifiedWord/>
      <trackRevisions>false</trackRevisions>
    </reviewItem>
    <reviewItem>
      <errorID>b8df4425-5f05-4540-9274-4cb5be8be43e</errorID>
      <errorWord>,</errorWord>
      <group>L1_Format</group>
      <groupName>格式问题</groupName>
      <ability>L2_HalfPunc_CN</ability>
      <abilityName>全半角问题</abilityName>
      <candidateList>
        <item>，</item>
      </candidateList>
      <explain>文本全半角错误。</explain>
      <paraID>4FAABB6A</paraID>
      <start>15</start>
      <end>16</end>
      <status>unmodified</status>
      <modifiedWord/>
      <trackRevisions>false</trackRevisions>
    </reviewItem>
    <reviewItem>
      <errorID>7c65e530-f342-4dd6-b8ee-72ab5b7ceb04</errorID>
      <errorWord>;</errorWord>
      <group>L1_Punc</group>
      <groupName>标点问题</groupName>
      <ability>L2_Punc_CN</ability>
      <abilityName>标点符号问题</abilityName>
      <candidateList>
        <item>；</item>
      </candidateList>
      <explain/>
      <paraID>4FAABB6A</paraID>
      <start>28</start>
      <end>29</end>
      <status>unmodified</status>
      <modifiedWord/>
      <trackRevisions>false</trackRevisions>
    </reviewItem>
    <reviewItem>
      <errorID>85d5a504-60cd-4211-b47a-de00d168d049</errorID>
      <errorWord>,</errorWord>
      <group>L1_Format</group>
      <groupName>格式问题</groupName>
      <ability>L2_HalfPunc_CN</ability>
      <abilityName>全半角问题</abilityName>
      <candidateList>
        <item>，</item>
      </candidateList>
      <explain>文本全半角错误。</explain>
      <paraID>4FAABB6A</paraID>
      <start>35</start>
      <end>36</end>
      <status>unmodified</status>
      <modifiedWord/>
      <trackRevisions>false</trackRevisions>
    </reviewItem>
    <reviewItem>
      <errorID>fd83560b-f444-4d17-a451-e5653b842156</errorID>
      <errorWord>;</errorWord>
      <group>L1_Format</group>
      <groupName>格式问题</groupName>
      <ability>L2_HalfPunc_CN</ability>
      <abilityName>全半角问题</abilityName>
      <candidateList>
        <item>；</item>
      </candidateList>
      <explain>文本全半角错误。</explain>
      <paraID>4FAABB6A</paraID>
      <start>50</start>
      <end>51</end>
      <status>unmodified</status>
      <modifiedWord/>
      <trackRevisions>false</trackRevisions>
    </reviewItem>
    <reviewItem>
      <errorID>8e19ca71-b529-4114-998b-ef07761d1344</errorID>
      <errorWord>依</errorWord>
      <group>L1_Word</group>
      <groupName>字词问题</groupName>
      <ability>L2_Typo</ability>
      <abilityName>字词错误</abilityName>
      <candidateList>
        <item>依据</item>
      </candidateList>
      <explain/>
      <paraID>4FAABB6A</paraID>
      <start>51</start>
      <end>52</end>
      <status>unmodified</status>
      <modifiedWord/>
      <trackRevisions>false</trackRevisions>
    </reviewItem>
    <reviewItem>
      <errorID>fdc93126-70ad-43d4-85b7-88940d90c4f2</errorID>
      <errorWord>,</errorWord>
      <group>L1_Punc</group>
      <groupName>标点问题</groupName>
      <ability>L2_Punc_CN</ability>
      <abilityName>标点符号问题</abilityName>
      <candidateList>
        <item>，</item>
      </candidateList>
      <explain/>
      <paraID>4FAABB6A</paraID>
      <start>61</start>
      <end>62</end>
      <status>unmodified</status>
      <modifiedWord/>
      <trackRevisions>false</trackRevisions>
    </reviewItem>
    <reviewItem>
      <errorID>2401df5e-02a3-4d64-a9dc-9cc23bead670</errorID>
      <errorWord>;</errorWord>
      <group>L1_Punc</group>
      <groupName>标点问题</groupName>
      <ability>L2_Punc_CN</ability>
      <abilityName>标点符号问题</abilityName>
      <candidateList>
        <item>；</item>
      </candidateList>
      <explain/>
      <paraID>4FAABB6A</paraID>
      <start>87</start>
      <end>88</end>
      <status>unmodified</status>
      <modifiedWord/>
      <trackRevisions>false</trackRevisions>
    </reviewItem>
    <reviewItem>
      <errorID>2625c86a-755c-43e6-9f1a-0cac7ed6d227</errorID>
      <errorWord>,</errorWord>
      <group>L1_Punc</group>
      <groupName>标点问题</groupName>
      <ability>L2_Punc_CN</ability>
      <abilityName>标点符号问题</abilityName>
      <candidateList>
        <item>，</item>
      </candidateList>
      <explain/>
      <paraID>4FAABB6A</paraID>
      <start>94</start>
      <end>95</end>
      <status>unmodified</status>
      <modifiedWord/>
      <trackRevisions>false</trackRevisions>
    </reviewItem>
    <reviewItem>
      <errorID>a3abe7b9-4f62-43e0-b909-1c80075f5988</errorID>
      <errorWord>;</errorWord>
      <group>L1_Punc</group>
      <groupName>标点问题</groupName>
      <ability>L2_Punc_CN</ability>
      <abilityName>标点符号问题</abilityName>
      <candidateList>
        <item>；</item>
      </candidateList>
      <explain/>
      <paraID>4FAABB6A</paraID>
      <start>104</start>
      <end>105</end>
      <status>unmodified</status>
      <modifiedWord/>
      <trackRevisions>false</trackRevisions>
    </reviewItem>
    <reviewItem>
      <errorID>ad27dac5-1b04-4634-b138-db7bc2924a0e</errorID>
      <errorWord>,</errorWord>
      <group>L1_Format</group>
      <groupName>格式问题</groupName>
      <ability>L2_HalfPunc_CN</ability>
      <abilityName>全半角问题</abilityName>
      <candidateList>
        <item>，</item>
      </candidateList>
      <explain>文本全半角错误。</explain>
      <paraID>4FAABB6A</paraID>
      <start>119</start>
      <end>120</end>
      <status>unmodified</status>
      <modifiedWord/>
      <trackRevisions>false</trackRevisions>
    </reviewItem>
    <reviewItem>
      <errorID>e891826c-339d-479e-b25e-90ad2172aa46</errorID>
      <errorWord>；</errorWord>
      <group>L1_Punc</group>
      <groupName>标点问题</groupName>
      <ability>L2_Punc_CN</ability>
      <abilityName>标点符号问题</abilityName>
      <candidateList>
        <item>。</item>
      </candidateList>
      <explain/>
      <paraID>4FAABB6A</paraID>
      <start>132</start>
      <end>133</end>
      <status>unmodified</status>
      <modifiedWord/>
      <trackRevisions>false</trackRevisions>
    </reviewItem>
    <reviewItem>
      <errorID>6f2a45ca-2e79-4256-9a91-0f5297841a8a</errorID>
      <errorWord> </errorWord>
      <group>L1_Punc</group>
      <groupName>标点问题</groupName>
      <ability>L2_Punc_CN</ability>
      <abilityName>标点符号问题</abilityName>
      <candidateList>
        <item>. </item>
      </candidateList>
      <explain/>
      <paraID>72EEF789</paraID>
      <start>1</start>
      <end>2</end>
      <status>unmodified</status>
      <modifiedWord/>
      <trackRevisions>false</trackRevisions>
    </reviewItem>
    <reviewItem>
      <errorID>7931ccc5-db91-4788-8c15-07d1a9270cb5</errorID>
      <errorWord>,</errorWord>
      <group>L1_Punc</group>
      <groupName>标点问题</groupName>
      <ability>L2_Punc_CN</ability>
      <abilityName>标点符号问题</abilityName>
      <candidateList>
        <item>，</item>
      </candidateList>
      <explain/>
      <paraID>72EEF789</paraID>
      <start>12</start>
      <end>13</end>
      <status>unmodified</status>
      <modifiedWord/>
      <trackRevisions>false</trackRevisions>
    </reviewItem>
    <reviewItem>
      <errorID>e2a07ef1-8172-4088-b103-86485c921ace</errorID>
      <errorWord>。有修改</errorWord>
      <group>L1_Grammar</group>
      <groupName>语法问题</groupName>
      <ability>L2_Grammar</ability>
      <abilityName>语法错误</abilityName>
      <candidateList>
        <item>。</item>
      </candidateList>
      <explain/>
      <paraID>72EEF789</paraID>
      <start>23</start>
      <end>27</end>
      <status>unmodified</status>
      <modifiedWord/>
      <trackRevisions>false</trackRevisions>
    </reviewItem>
    <reviewItem>
      <errorID>0eeb80b1-ea72-4c30-af7a-cf158e572870</errorID>
      <errorWord>目的是为了</errorWord>
      <group>L1_Word</group>
      <groupName>字词问题</groupName>
      <ability>L2_Typo</ability>
      <abilityName>字词错误</abilityName>
      <candidateList>
        <item>目的是</item>
      </candidateList>
      <explain/>
      <paraID> E1A6AE7</paraID>
      <start>82</start>
      <end>87</end>
      <status>unmodified</status>
      <modifiedWord/>
      <trackRevisions>false</trackRevisions>
    </reviewItem>
    <reviewItem>
      <errorID>766b5e06-758e-4f73-83b2-09856a1a12e2</errorID>
      <errorWord>:</errorWord>
      <group>L1_Format</group>
      <groupName>格式问题</groupName>
      <ability>L2_HalfPunc_CN</ability>
      <abilityName>全半角问题</abilityName>
      <candidateList>
        <item>：</item>
      </candidateList>
      <explain>文本全半角错误。</explain>
      <paraID>3A14265E</paraID>
      <start>66</start>
      <end>67</end>
      <status>unmodified</status>
      <modifiedWord/>
      <trackRevisions>false</trackRevisions>
    </reviewItem>
    <reviewItem>
      <errorID>827a876a-aa20-40ee-b177-5b5aaa256d0a</errorID>
      <errorWord>,</errorWord>
      <group>L1_Format</group>
      <groupName>格式问题</groupName>
      <ability>L2_HalfPunc_CN</ability>
      <abilityName>全半角问题</abilityName>
      <candidateList>
        <item>，</item>
      </candidateList>
      <explain>文本全半角错误。</explain>
      <paraID>7F89C3F1</paraID>
      <start>15</start>
      <end>16</end>
      <status>unmodified</status>
      <modifiedWord/>
      <trackRevisions>false</trackRevisions>
    </reviewItem>
    <reviewItem>
      <errorID>6dab3a49-8ae5-46fc-898d-6806aa634643</errorID>
      <errorWord>;</errorWord>
      <group>L1_Format</group>
      <groupName>格式问题</groupName>
      <ability>L2_HalfPunc_CN</ability>
      <abilityName>全半角问题</abilityName>
      <candidateList>
        <item>；</item>
      </candidateList>
      <explain>文本全半角错误。</explain>
      <paraID>7F89C3F1</paraID>
      <start>28</start>
      <end>29</end>
      <status>unmodified</status>
      <modifiedWord/>
      <trackRevisions>false</trackRevisions>
    </reviewItem>
    <reviewItem>
      <errorID>62c4ce2e-3711-45e0-a927-3a500e4440a0</errorID>
      <errorWord>,</errorWord>
      <group>L1_Format</group>
      <groupName>格式问题</groupName>
      <ability>L2_HalfPunc_CN</ability>
      <abilityName>全半角问题</abilityName>
      <candidateList>
        <item>，</item>
      </candidateList>
      <explain>文本全半角错误。</explain>
      <paraID>7F89C3F1</paraID>
      <start>35</start>
      <end>36</end>
      <status>unmodified</status>
      <modifiedWord/>
      <trackRevisions>false</trackRevisions>
    </reviewItem>
    <reviewItem>
      <errorID>9133dfed-3209-476c-b006-f1eed26844a1</errorID>
      <errorWord>;</errorWord>
      <group>L1_Format</group>
      <groupName>格式问题</groupName>
      <ability>L2_HalfPunc_CN</ability>
      <abilityName>全半角问题</abilityName>
      <candidateList>
        <item>；</item>
      </candidateList>
      <explain>文本全半角错误。</explain>
      <paraID>7F89C3F1</paraID>
      <start>50</start>
      <end>51</end>
      <status>unmodified</status>
      <modifiedWord/>
      <trackRevisions>false</trackRevisions>
    </reviewItem>
    <reviewItem>
      <errorID>343ee382-5631-4c0f-b639-4c3be011a9af</errorID>
      <errorWord>依</errorWord>
      <group>L1_Word</group>
      <groupName>字词问题</groupName>
      <ability>L2_Typo</ability>
      <abilityName>字词错误</abilityName>
      <candidateList>
        <item>依据</item>
      </candidateList>
      <explain/>
      <paraID>7F89C3F1</paraID>
      <start>51</start>
      <end>52</end>
      <status>unmodified</status>
      <modifiedWord/>
      <trackRevisions>false</trackRevisions>
    </reviewItem>
    <reviewItem>
      <errorID>76fd453f-4b5e-4837-a5b8-c22f2a671fb0</errorID>
      <errorWord>,</errorWord>
      <group>L1_Format</group>
      <groupName>格式问题</groupName>
      <ability>L2_HalfPunc_CN</ability>
      <abilityName>全半角问题</abilityName>
      <candidateList>
        <item>，</item>
      </candidateList>
      <explain>文本全半角错误。</explain>
      <paraID>7F89C3F1</paraID>
      <start>61</start>
      <end>62</end>
      <status>unmodified</status>
      <modifiedWord/>
      <trackRevisions>false</trackRevisions>
    </reviewItem>
    <reviewItem>
      <errorID>2fab793e-f5b4-4d51-8dac-9855c845c7b8</errorID>
      <errorWord>;</errorWord>
      <group>L1_Format</group>
      <groupName>格式问题</groupName>
      <ability>L2_HalfPunc_CN</ability>
      <abilityName>全半角问题</abilityName>
      <candidateList>
        <item>；</item>
      </candidateList>
      <explain>文本全半角错误。</explain>
      <paraID>7F89C3F1</paraID>
      <start>87</start>
      <end>88</end>
      <status>unmodified</status>
      <modifiedWord/>
      <trackRevisions>false</trackRevisions>
    </reviewItem>
    <reviewItem>
      <errorID>8123da46-571a-4095-ac6e-6092feda82ab</errorID>
      <errorWord>,</errorWord>
      <group>L1_Format</group>
      <groupName>格式问题</groupName>
      <ability>L2_HalfPunc_CN</ability>
      <abilityName>全半角问题</abilityName>
      <candidateList>
        <item>，</item>
      </candidateList>
      <explain>文本全半角错误。</explain>
      <paraID>7F89C3F1</paraID>
      <start>94</start>
      <end>95</end>
      <status>unmodified</status>
      <modifiedWord/>
      <trackRevisions>false</trackRevisions>
    </reviewItem>
    <reviewItem>
      <errorID>d081cc7a-4bb5-407d-9d06-74163e7d0e52</errorID>
      <errorWord>;</errorWord>
      <group>L1_Format</group>
      <groupName>格式问题</groupName>
      <ability>L2_HalfPunc_CN</ability>
      <abilityName>全半角问题</abilityName>
      <candidateList>
        <item>；</item>
      </candidateList>
      <explain>文本全半角错误。</explain>
      <paraID>7F89C3F1</paraID>
      <start>104</start>
      <end>105</end>
      <status>unmodified</status>
      <modifiedWord/>
      <trackRevisions>false</trackRevisions>
    </reviewItem>
    <reviewItem>
      <errorID>4dd727a9-df00-47b7-8ddc-dc40badef3f8</errorID>
      <errorWord>,</errorWord>
      <group>L1_Format</group>
      <groupName>格式问题</groupName>
      <ability>L2_HalfPunc_CN</ability>
      <abilityName>全半角问题</abilityName>
      <candidateList>
        <item>，</item>
      </candidateList>
      <explain>文本全半角错误。</explain>
      <paraID>7F89C3F1</paraID>
      <start>119</start>
      <end>120</end>
      <status>unmodified</status>
      <modifiedWord/>
      <trackRevisions>false</trackRevisions>
    </reviewItem>
    <reviewItem>
      <errorID>f96cf7a1-53b0-4153-8bea-c4dcf65e71b4</errorID>
      <errorWord>:</errorWord>
      <group>L1_Format</group>
      <groupName>格式问题</groupName>
      <ability>L2_HalfPunc_CN</ability>
      <abilityName>全半角问题</abilityName>
      <candidateList>
        <item>：</item>
      </candidateList>
      <explain>文本全半角错误。</explain>
      <paraID>6D3746C0</paraID>
      <start>79</start>
      <end>80</end>
      <status>unmodified</status>
      <modifiedWord/>
      <trackRevisions>false</trackRevisions>
    </reviewItem>
    <reviewItem>
      <errorID>68e2a002-07a3-4ad4-88ac-eddc248d3554</errorID>
      <errorWord>,</errorWord>
      <group>L1_Format</group>
      <groupName>格式问题</groupName>
      <ability>L2_HalfPunc_CN</ability>
      <abilityName>全半角问题</abilityName>
      <candidateList>
        <item>，</item>
      </candidateList>
      <explain>文本全半角错误。</explain>
      <paraID>6D3746C0</paraID>
      <start>138</start>
      <end>139</end>
      <status>unmodified</status>
      <modifiedWord/>
      <trackRevisions>false</trackRevisions>
    </reviewItem>
    <reviewItem>
      <errorID>d6b0f52d-2549-46f4-9d31-2bbb7e440d06</errorID>
      <errorWord>,</errorWord>
      <group>L1_Format</group>
      <groupName>格式问题</groupName>
      <ability>L2_HalfPunc_CN</ability>
      <abilityName>全半角问题</abilityName>
      <candidateList>
        <item>，</item>
      </candidateList>
      <explain>文本全半角错误。</explain>
      <paraID>6D3746C0</paraID>
      <start>152</start>
      <end>153</end>
      <status>unmodified</status>
      <modifiedWord/>
      <trackRevisions>false</trackRevisions>
    </reviewItem>
    <reviewItem>
      <errorID>5deca72c-195c-4bb8-8bba-8193ad281ab9</errorID>
      <errorWord>-</errorWord>
      <group>L1_Format</group>
      <groupName>格式问题</groupName>
      <ability>L2_HalfPunc_CN</ability>
      <abilityName>全半角问题</abilityName>
      <candidateList>
        <item>－</item>
      </candidateList>
      <explain>文本全半角错误。</explain>
      <paraID>468951DC</paraID>
      <start>21</start>
      <end>22</end>
      <status>unmodified</status>
      <modifiedWord/>
      <trackRevisions>false</trackRevisions>
    </reviewItem>
    <reviewItem>
      <errorID>5b68370e-cefe-4258-855c-c19a91328c64</errorID>
      <errorWord>.；</errorWord>
      <group>L1_Punc</group>
      <groupName>标点问题</groupName>
      <ability>L2_Punc_CN</ability>
      <abilityName>标点符号问题</abilityName>
      <candidateList>
        <item>.</item>
      </candidateList>
      <explain/>
      <paraID> C3A321D</paraID>
      <start>53</start>
      <end>55</end>
      <status>unmodified</status>
      <modifiedWord/>
      <trackRevisions>false</trackRevisions>
    </reviewItem>
    <reviewItem>
      <errorID>0ddf3461-e686-44e0-9f61-85938782581a</errorID>
      <errorWord>考虑</errorWord>
      <group>L1_Word</group>
      <groupName>字词问题</groupName>
      <ability>L2_Typo</ability>
      <abilityName>字词错误</abilityName>
      <candidateList>
        <item>应考虑</item>
      </candidateList>
      <explain/>
      <paraID>7DD31B0F</paraID>
      <start>82</start>
      <end>84</end>
      <status>unmodified</status>
      <modifiedWord/>
      <trackRevisions>false</trackRevisions>
    </reviewItem>
    <reviewItem>
      <errorID>e7edd625-5ab6-4c0d-bf3c-a4503bee27b1</errorID>
      <errorWord>，</errorWord>
      <group>L1_Word</group>
      <groupName>字词问题</groupName>
      <ability>L2_Typo</ability>
      <abilityName>字词错误</abilityName>
      <candidateList>
        <item>等，</item>
      </candidateList>
      <explain/>
      <paraID>27644EE2</paraID>
      <start>112</start>
      <end>113</end>
      <status>unmodified</status>
      <modifiedWord/>
      <trackRevisions>false</trackRevisions>
    </reviewItem>
    <reviewItem>
      <errorID>54633da5-b04e-4585-a6c3-4bd73e7a2a30</errorID>
      <errorWord>，</errorWord>
      <group>L1_Punc</group>
      <groupName>标点问题</groupName>
      <ability>L2_Punc_CN</ability>
      <abilityName>标点符号问题</abilityName>
      <candidateList>
        <item>。</item>
      </candidateList>
      <explain/>
      <paraID>4E330613</paraID>
      <start>93</start>
      <end>94</end>
      <status>unmodified</status>
      <modifiedWord/>
      <trackRevisions>false</trackRevisions>
    </reviewItem>
    <reviewItem>
      <errorID>15dc85aa-0619-49d9-aaee-4ca6e5b2077a</errorID>
      <errorWord>摇摆</errorWord>
      <group>L1_Word</group>
      <groupName>字词问题</groupName>
      <ability>L2_Typo</ability>
      <abilityName>字词错误</abilityName>
      <candidateList>
        <item>摆</item>
      </candidateList>
      <explain/>
      <paraID>5D1AAE01</paraID>
      <start>55</start>
      <end>57</end>
      <status>unmodified</status>
      <modifiedWord/>
      <trackRevisions>false</trackRevisions>
    </reviewItem>
    <reviewItem>
      <errorID>126e947b-89fb-4b18-bba5-2b2363dd1f60</errorID>
      <errorWord>(</errorWord>
      <group>L1_Format</group>
      <groupName>格式问题</groupName>
      <ability>L2_HalfPunc_CN</ability>
      <abilityName>全半角问题</abilityName>
      <candidateList>
        <item>（</item>
      </candidateList>
      <explain>文本全半角错误。</explain>
      <paraID>63923CF2</paraID>
      <start>50</start>
      <end>51</end>
      <status>unmodified</status>
      <modifiedWord/>
      <trackRevisions>false</trackRevisions>
    </reviewItem>
    <reviewItem>
      <errorID>f0da3d1f-dd73-4286-b1c2-668a276dbef0</errorID>
      <errorWord>)</errorWord>
      <group>L1_Format</group>
      <groupName>格式问题</groupName>
      <ability>L2_HalfPunc_CN</ability>
      <abilityName>全半角问题</abilityName>
      <candidateList>
        <item>）</item>
      </candidateList>
      <explain>文本全半角错误。</explain>
      <paraID>63923CF2</paraID>
      <start>64</start>
      <end>65</end>
      <status>unmodified</status>
      <modifiedWord/>
      <trackRevisions>false</trackRevisions>
    </reviewItem>
    <reviewItem>
      <errorID>a9694ec5-b340-4959-9691-267915a14413</errorID>
      <errorWord>,</errorWord>
      <group>L1_Format</group>
      <groupName>格式问题</groupName>
      <ability>L2_HalfPunc_CN</ability>
      <abilityName>全半角问题</abilityName>
      <candidateList>
        <item>，</item>
      </candidateList>
      <explain>文本全半角错误。</explain>
      <paraID>7C38EEEB</paraID>
      <start>18</start>
      <end>19</end>
      <status>unmodified</status>
      <modifiedWord/>
      <trackRevisions>false</trackRevisions>
    </reviewItem>
    <reviewItem>
      <errorID>86c5f552-12e4-4ee1-a334-2df2511d872a</errorID>
      <errorWord> </errorWord>
      <group>L1_Punc</group>
      <groupName>标点问题</groupName>
      <ability>L2_Punc_CN</ability>
      <abilityName>标点符号问题</abilityName>
      <candidateList>
        <item>. </item>
      </candidateList>
      <explain/>
      <paraID>5390123B</paraID>
      <start>1</start>
      <end>2</end>
      <status>unmodified</status>
      <modifiedWord/>
      <trackRevisions>false</trackRevisions>
    </reviewItem>
    <reviewItem>
      <errorID>899df2c4-77ab-4e5b-a461-f3b382164a9f</errorID>
      <errorWord> </errorWord>
      <group>L1_Punc</group>
      <groupName>标点问题</groupName>
      <ability>L2_Punc_CN</ability>
      <abilityName>标点符号问题</abilityName>
      <candidateList>
        <item>. </item>
      </candidateList>
      <explain/>
      <paraID>5918429D</paraID>
      <start>1</start>
      <end>2</end>
      <status>unmodified</status>
      <modifiedWord/>
      <trackRevisions>false</trackRevisions>
    </reviewItem>
    <reviewItem>
      <errorID>85831c4f-eb1d-401e-bb9b-eb22a04ed188</errorID>
      <errorWord>对于</errorWord>
      <group>L1_Word</group>
      <groupName>字词问题</groupName>
      <ability>L2_Typo</ability>
      <abilityName>字词错误</abilityName>
      <candidateList>
        <item> 对于</item>
      </candidateList>
      <explain/>
      <paraID>12C0716E</paraID>
      <start>0</start>
      <end>2</end>
      <status>unmodified</status>
      <modifiedWord/>
      <trackRevisions>false</trackRevisions>
    </reviewItem>
    <reviewItem>
      <errorID>13428024-ec49-47da-a3ee-1a0bcac61c0b</errorID>
      <errorWord>密集</errorWord>
      <group>L1_Word</group>
      <groupName>字词问题</groupName>
      <ability>L2_Typo</ability>
      <abilityName>字词错误</abilityName>
      <candidateList>
        <item> 密集</item>
      </candidateList>
      <explain/>
      <paraID>7BCC4E1E</paraID>
      <start>0</start>
      <end>2</end>
      <status>unmodified</status>
      <modifiedWord/>
      <trackRevisions>false</trackRevisions>
    </reviewItem>
    <reviewItem>
      <errorID>ab098868-b409-4eaf-9105-0b32fde26b0f</errorID>
      <errorWord>二、三道</errorWord>
      <group>L1_Knowledge</group>
      <groupName>知识性问题</groupName>
      <ability>L2_Knowledge</ability>
      <abilityName>其他知识</abilityName>
      <candidateList>
        <item>二三道</item>
      </candidateList>
      <explain>根据国标GB/T 15834-2011《标点符号用法》中的4.5.3.4节，相邻或相近两数字连用表概数时，通常不使用顿号。如“只能看到八九公里范围内的地面”。</explain>
      <paraID>7BCC4E1E</paraID>
      <start>31</start>
      <end>35</end>
      <status>unmodified</status>
      <modifiedWord/>
      <trackRevisions>false</trackRevisions>
    </reviewItem>
    <reviewItem>
      <errorID>bd9487c9-74da-4082-afc2-af31f2cfc392</errorID>
      <errorWord>无功</errorWord>
      <group>L1_Punc</group>
      <groupName>标点问题</groupName>
      <ability>L2_Punc_CN</ability>
      <abilityName>标点符号问题</abilityName>
      <candidateList>
        <item>. 无功</item>
      </candidateList>
      <explain/>
      <paraID>67CB59D9</paraID>
      <start>0</start>
      <end>2</end>
      <status>unmodified</status>
      <modifiedWord/>
      <trackRevisions>false</trackRevisions>
    </reviewItem>
    <reviewItem>
      <errorID>bfe3ca3b-67d8-4768-971b-1431e80ef2dd</errorID>
      <errorWord>计算</errorWord>
      <group>L1_Word</group>
      <groupName>字词问题</groupName>
      <ability>L2_Typo</ability>
      <abilityName>字词错误</abilityName>
      <candidateList>
        <item> 计算</item>
      </candidateList>
      <explain/>
      <paraID>3775A253</paraID>
      <start>0</start>
      <end>2</end>
      <status>unmodified</status>
      <modifiedWord/>
      <trackRevisions>false</trackRevisions>
    </reviewItem>
    <reviewItem>
      <errorID>fd3814c8-bdbd-496c-8f80-8cabfca5438a</errorID>
      <errorWord>电网</errorWord>
      <group>L1_Word</group>
      <groupName>字词问题</groupName>
      <ability>L2_Typo</ability>
      <abilityName>字词错误</abilityName>
      <candidateList>
        <item> 电网</item>
      </candidateList>
      <explain/>
      <paraID>5F735F7E</paraID>
      <start>0</start>
      <end>2</end>
      <status>unmodified</status>
      <modifiedWord/>
      <trackRevisions>false</trackRevisions>
    </reviewItem>
    <reviewItem>
      <errorID>450c1d20-323e-47e2-a210-cb7a853f8378</errorID>
      <errorWord>电力系统规划设计手册</errorWord>
      <group>L1_Punc</group>
      <groupName>标点问题</groupName>
      <ability>L2_Punc_CN</ability>
      <abilityName>标点符号问题</abilityName>
      <candidateList>
        <item>《电力系统规划设计手册》</item>
      </candidateList>
      <explain/>
      <paraID>1366B02C</paraID>
      <start>3</start>
      <end>13</end>
      <status>unmodified</status>
      <modifiedWord/>
      <trackRevisions>false</trackRevisions>
    </reviewItem>
    <reviewItem>
      <errorID>4b377dc8-4ba1-4b45-af08-744ade996cda</errorID>
      <errorWord>无功功率</errorWord>
      <group>L1_Word</group>
      <groupName>字词问题</groupName>
      <ability>L2_Typo</ability>
      <abilityName>字词错误</abilityName>
      <candidateList>
        <item> 无功功率</item>
      </candidateList>
      <explain/>
      <paraID>1366B02C</paraID>
      <start>20</start>
      <end>24</end>
      <status>unmodified</status>
      <modifiedWord/>
      <trackRevisions>false</trackRevisions>
    </reviewItem>
    <reviewItem>
      <errorID>19ac9704-e798-478a-b1d4-26105e989309</errorID>
      <errorWord>。】</errorWord>
      <group>L1_Punc</group>
      <groupName>标点问题</groupName>
      <ability>L2_Punc_CN</ability>
      <abilityName>标点符号问题</abilityName>
      <candidateList>
        <item>】</item>
      </candidateList>
      <explain/>
      <paraID>5AF4B1C2</paraID>
      <start>51</start>
      <end>53</end>
      <status>unmodified</status>
      <modifiedWord/>
      <trackRevisions>false</trackRevisions>
    </reviewItem>
    <reviewItem>
      <errorID>238fb18d-090a-49f3-ad7d-a3dc3302d2da</errorID>
      <errorWord>大</errorWord>
      <group>L1_Word</group>
      <groupName>字词问题</groupName>
      <ability>L2_Typo</ability>
      <abilityName>字词错误</abilityName>
      <candidateList>
        <item> 大</item>
      </candidateList>
      <explain/>
      <paraID>2F28CF4A</paraID>
      <start>0</start>
      <end>1</end>
      <status>unmodified</status>
      <modifiedWord/>
      <trackRevisions>false</trackRevisions>
    </reviewItem>
    <reviewItem>
      <errorID>625d23e0-538b-4d80-ac97-3a1371235202</errorID>
      <errorWord>。】</errorWord>
      <group>L1_Punc</group>
      <groupName>标点问题</groupName>
      <ability>L2_Punc_CN</ability>
      <abilityName>标点符号问题</abilityName>
      <candidateList>
        <item>】</item>
      </candidateList>
      <explain/>
      <paraID>4BA52299</paraID>
      <start>20</start>
      <end>22</end>
      <status>unmodified</status>
      <modifiedWord/>
      <trackRevisions>false</trackRevisions>
    </reviewItem>
    <reviewItem>
      <errorID>bc746b68-48a2-41a3-8443-ec15d39ed278</errorID>
      <errorWord>通常</errorWord>
      <group>L1_Word</group>
      <groupName>字词问题</groupName>
      <ability>L2_Typo</ability>
      <abilityName>字词错误</abilityName>
      <candidateList>
        <item> 通常</item>
      </candidateList>
      <explain/>
      <paraID>73C3F9C4</paraID>
      <start>0</start>
      <end>2</end>
      <status>unmodified</status>
      <modifiedWord/>
      <trackRevisions>false</trackRevisions>
    </reviewItem>
    <reviewItem>
      <errorID>d4d93280-bd15-4727-9d7b-6182f6703e84</errorID>
      <errorWord>。】</errorWord>
      <group>L1_Punc</group>
      <groupName>标点问题</groupName>
      <ability>L2_Punc_CN</ability>
      <abilityName>标点符号问题</abilityName>
      <candidateList>
        <item>】</item>
      </candidateList>
      <explain/>
      <paraID>4051C32C</paraID>
      <start>35</start>
      <end>37</end>
      <status>unmodified</status>
      <modifiedWord/>
      <trackRevisions>false</trackRevisions>
    </reviewItem>
    <reviewItem>
      <errorID>ce224c11-3e24-47b0-968b-9a186901e067</errorID>
      <errorWord>划定</errorWord>
      <group>L1_Word</group>
      <groupName>字词问题</groupName>
      <ability>L2_Typo</ability>
      <abilityName>字词错误</abilityName>
      <candidateList>
        <item> 划定</item>
      </candidateList>
      <explain/>
      <paraID>2E3CD78D</paraID>
      <start>0</start>
      <end>2</end>
      <status>unmodified</status>
      <modifiedWord/>
      <trackRevisions>false</trackRevisions>
    </reviewItem>
    <reviewItem>
      <errorID>70df8e77-9a23-476f-bed1-5d8e8736db3a</errorID>
      <errorWord>。</errorWord>
      <group>L1_Word</group>
      <groupName>字词问题</groupName>
      <ability>L2_Typo</ability>
      <abilityName>字词错误</abilityName>
      <candidateList>
        <item>内。</item>
      </candidateList>
      <explain/>
      <paraID>1F6360F1</paraID>
      <start>40</start>
      <end>41</end>
      <status>unmodified</status>
      <modifiedWord/>
      <trackRevisions>false</trackRevisions>
    </reviewItem>
    <reviewItem>
      <errorID>0fefb28e-7991-494a-9c48-4e20dacd20f3</errorID>
      <errorWord>。】</errorWord>
      <group>L1_Punc</group>
      <groupName>标点问题</groupName>
      <ability>L2_Punc_CN</ability>
      <abilityName>标点符号问题</abilityName>
      <candidateList>
        <item>】</item>
      </candidateList>
      <explain/>
      <paraID>428AB453</paraID>
      <start>18</start>
      <end>20</end>
      <status>unmodified</status>
      <modifiedWord/>
      <trackRevisions>false</trackRevisions>
    </reviewItem>
    <reviewItem>
      <errorID>976f2b4c-7e6d-4be3-8795-51770656c3d6</errorID>
      <errorWord>。】</errorWord>
      <group>L1_Punc</group>
      <groupName>标点问题</groupName>
      <ability>L2_Punc_CN</ability>
      <abilityName>标点符号问题</abilityName>
      <candidateList>
        <item>】</item>
      </candidateList>
      <explain/>
      <paraID>4B12F1A9</paraID>
      <start>39</start>
      <end>41</end>
      <status>unmodified</status>
      <modifiedWord/>
      <trackRevisions>false</trackRevisions>
    </reviewItem>
    <reviewItem>
      <errorID>784e508b-2c4d-48fc-8a43-405b19e3e05f</errorID>
      <errorWord>无功</errorWord>
      <group>L1_Word</group>
      <groupName>字词问题</groupName>
      <ability>L2_Typo</ability>
      <abilityName>字词错误</abilityName>
      <candidateList>
        <item>的无功</item>
      </candidateList>
      <explain/>
      <paraID>5D187C5E</paraID>
      <start>36</start>
      <end>38</end>
      <status>unmodified</status>
      <modifiedWord/>
      <trackRevisions>false</trackRevisions>
    </reviewItem>
    <reviewItem>
      <errorID>2fa791f8-1eb9-442f-9a52-65dcda82d40b</errorID>
      <errorWord>】</errorWord>
      <group>L1_Word</group>
      <groupName>字词问题</groupName>
      <ability>L2_Typo</ability>
      <abilityName>字词错误</abilityName>
      <candidateList>
        <item>。</item>
      </candidateList>
      <explain/>
      <paraID>610880EE</paraID>
      <start>47</start>
      <end>48</end>
      <status>unmodified</status>
      <modifiedWord/>
      <trackRevisions>false</trackRevisions>
    </reviewItem>
    <reviewItem>
      <errorID>8576fe8a-842a-4a88-887a-3638312fa5bf</errorID>
      <errorWord>。】</errorWord>
      <group>L1_Punc</group>
      <groupName>标点问题</groupName>
      <ability>L2_Punc_CN</ability>
      <abilityName>标点符号问题</abilityName>
      <candidateList>
        <item>】</item>
      </candidateList>
      <explain/>
      <paraID>148C7853</paraID>
      <start>39</start>
      <end>41</end>
      <status>unmodified</status>
      <modifiedWord/>
      <trackRevisions>false</trackRevisions>
    </reviewItem>
    <reviewItem>
      <errorID>0fefb28e-7991-494a-9c48-4e20dacd20f3</errorID>
      <errorWord>。】</errorWord>
      <group>L1_Punc</group>
      <groupName>标点问题</groupName>
      <ability>L2_Punc_CN</ability>
      <abilityName>标点符号问题</abilityName>
      <candidateList>
        <item>】</item>
      </candidateList>
      <explain/>
      <paraID>46B35051</paraID>
      <start>18</start>
      <end>20</end>
      <status>unmodified</status>
      <modifiedWord/>
      <trackRevisions>false</trackRevisions>
    </reviewItem>
    <reviewItem>
      <errorID>19ac9704-e798-478a-b1d4-26105e989309</errorID>
      <errorWord>。】</errorWord>
      <group>L1_Punc</group>
      <groupName>标点问题</groupName>
      <ability>L2_Punc_CN</ability>
      <abilityName>标点符号问题</abilityName>
      <candidateList>
        <item>】</item>
      </candidateList>
      <explain/>
      <paraID>5EC90003</paraID>
      <start>51</start>
      <end>53</end>
      <status>unmodified</status>
      <modifiedWord/>
      <trackRevisions>false</trackRevisions>
    </reviewItem>
    <reviewItem>
      <errorID>f025bbdd-42e2-4f7b-825f-37ea3734b09d</errorID>
      <errorWord>。】</errorWord>
      <group>L1_Punc</group>
      <groupName>标点问题</groupName>
      <ability>L2_Punc_CN</ability>
      <abilityName>标点符号问题</abilityName>
      <candidateList>
        <item>】</item>
      </candidateList>
      <explain/>
      <paraID>46C9FA09</paraID>
      <start>65</start>
      <end>67</end>
      <status>unmodified</status>
      <modifiedWord/>
      <trackRevisions>false</trackRevisions>
    </reviewItem>
    <reviewItem>
      <errorID>9589d557-ed84-4fcb-aa71-9520070afbc3</errorID>
      <errorWord>。】</errorWord>
      <group>L1_Punc</group>
      <groupName>标点问题</groupName>
      <ability>L2_Punc_CN</ability>
      <abilityName>标点符号问题</abilityName>
      <candidateList>
        <item>】</item>
      </candidateList>
      <explain/>
      <paraID> 62C784F</paraID>
      <start>60</start>
      <end>62</end>
      <status>unmodified</status>
      <modifiedWord/>
      <trackRevisions>false</trackRevisions>
    </reviewItem>
    <reviewItem>
      <errorID>9c63f910-e8a1-4aa6-ac47-bb15e94d28ba</errorID>
      <errorWord>。】</errorWord>
      <group>L1_Punc</group>
      <groupName>标点问题</groupName>
      <ability>L2_Punc_CN</ability>
      <abilityName>标点符号问题</abilityName>
      <candidateList>
        <item>】</item>
      </candidateList>
      <explain/>
      <paraID>5B951C6C</paraID>
      <start>76</start>
      <end>78</end>
      <status>unmodified</status>
      <modifiedWord/>
      <trackRevisions>false</trackRevisions>
    </reviewItem>
    <reviewItem>
      <errorID>19ac9704-e798-478a-b1d4-26105e989309</errorID>
      <errorWord>。】</errorWord>
      <group>L1_Punc</group>
      <groupName>标点问题</groupName>
      <ability>L2_Punc_CN</ability>
      <abilityName>标点符号问题</abilityName>
      <candidateList>
        <item>】</item>
      </candidateList>
      <explain/>
      <paraID>4FA2204A</paraID>
      <start>51</start>
      <end>53</end>
      <status>unmodified</status>
      <modifiedWord/>
      <trackRevisions>false</trackRevisions>
    </reviewItem>
    <reviewItem>
      <errorID>19ac9704-e798-478a-b1d4-26105e989309</errorID>
      <errorWord>。】</errorWord>
      <group>L1_Punc</group>
      <groupName>标点问题</groupName>
      <ability>L2_Punc_CN</ability>
      <abilityName>标点符号问题</abilityName>
      <candidateList>
        <item>】</item>
      </candidateList>
      <explain/>
      <paraID>2B95ACF0</paraID>
      <start>51</start>
      <end>53</end>
      <status>unmodified</status>
      <modifiedWord/>
      <trackRevisions>false</trackRevisions>
    </reviewItem>
    <reviewItem>
      <errorID>f194b885-3329-4f13-b440-058e2034d15a</errorID>
      <errorWord>调相</errorWord>
      <group>L1_Punc</group>
      <groupName>标点问题</groupName>
      <ability>L2_Punc_CN</ability>
      <abilityName>标点符号问题</abilityName>
      <candidateList>
        <item>. 调相</item>
      </candidateList>
      <explain/>
      <paraID>74762335</paraID>
      <start>0</start>
      <end>2</end>
      <status>unmodified</status>
      <modifiedWord/>
      <trackRevisions>false</trackRevisions>
    </reviewItem>
    <reviewItem>
      <errorID>cc48b087-a29d-4d30-953a-c148346a8731</errorID>
      <errorWord>计算</errorWord>
      <group>L1_Word</group>
      <groupName>字词问题</groupName>
      <ability>L2_Typo</ability>
      <abilityName>字词错误</abilityName>
      <candidateList>
        <item> 计算</item>
      </candidateList>
      <explain/>
      <paraID>21821726</paraID>
      <start>0</start>
      <end>2</end>
      <status>unmodified</status>
      <modifiedWord/>
      <trackRevisions>false</trackRevisions>
    </reviewItem>
    <reviewItem>
      <errorID>0a3882b5-a8ff-4d9c-b1b1-0c006098141e</errorID>
      <errorWord> 电力系统电气计算设计规程</errorWord>
      <group>L1_Punc</group>
      <groupName>标点问题</groupName>
      <ability>L2_Punc_CN</ability>
      <abilityName>标点符号问题</abilityName>
      <candidateList>
        <item>《电力系统电气计算设计规程》</item>
      </candidateList>
      <explain/>
      <paraID>264F9F35</paraID>
      <start>15</start>
      <end>28</end>
      <status>unmodified</status>
      <modifiedWord/>
      <trackRevisions>false</trackRevisions>
    </reviewItem>
    <reviewItem>
      <errorID>52974126-5bf2-47bf-9f0d-5f5387be1a37</errorID>
      <errorWord>,</errorWord>
      <group>L1_Format</group>
      <groupName>格式问题</groupName>
      <ability>L2_HalfPunc_CN</ability>
      <abilityName>全半角问题</abilityName>
      <candidateList>
        <item>，</item>
      </candidateList>
      <explain>文本全半角错误。</explain>
      <paraID>11DA3C1F</paraID>
      <start>11</start>
      <end>12</end>
      <status>unmodified</status>
      <modifiedWord/>
      <trackRevisions>false</trackRevisions>
    </reviewItem>
    <reviewItem>
      <errorID>7757b1c4-4181-4b41-b57e-daf1b5ffd877</errorID>
      <errorWord>,</errorWord>
      <group>L1_Punc</group>
      <groupName>标点问题</groupName>
      <ability>L2_Punc_CN</ability>
      <abilityName>标点符号问题</abilityName>
      <candidateList>
        <item>，</item>
      </candidateList>
      <explain/>
      <paraID>6D17E2C2</paraID>
      <start>9</start>
      <end>10</end>
      <status>unmodified</status>
      <modifiedWord/>
      <trackRevisions>false</trackRevisions>
    </reviewItem>
    <reviewItem>
      <errorID>b95c923e-e1c3-4c79-9a85-61cd1aaf17cc</errorID>
      <errorWord>,</errorWord>
      <group>L1_Format</group>
      <groupName>格式问题</groupName>
      <ability>L2_HalfPunc_CN</ability>
      <abilityName>全半角问题</abilityName>
      <candidateList>
        <item>，</item>
      </candidateList>
      <explain>文本全半角错误。</explain>
      <paraID>343FB81E</paraID>
      <start>17</start>
      <end>18</end>
      <status>unmodified</status>
      <modifiedWord/>
      <trackRevisions>false</trackRevisions>
    </reviewItem>
    <reviewItem>
      <errorID>0b496b00-b14d-4642-a791-a08882ab7d56</errorID>
      <errorWord>,</errorWord>
      <group>L1_Format</group>
      <groupName>格式问题</groupName>
      <ability>L2_HalfPunc_CN</ability>
      <abilityName>全半角问题</abilityName>
      <candidateList>
        <item>，</item>
      </candidateList>
      <explain>文本全半角错误。</explain>
      <paraID>26F7F135</paraID>
      <start>16</start>
      <end>17</end>
      <status>unmodified</status>
      <modifiedWord/>
      <trackRevisions>false</trackRevisions>
    </reviewItem>
    <reviewItem>
      <errorID>8d67a7bc-3276-4500-b281-41aa5d614f51</errorID>
      <errorWord>,</errorWord>
      <group>L1_Format</group>
      <groupName>格式问题</groupName>
      <ability>L2_HalfPunc_CN</ability>
      <abilityName>全半角问题</abilityName>
      <candidateList>
        <item>，</item>
      </candidateList>
      <explain>文本全半角错误。</explain>
      <paraID>26F7F135</paraID>
      <start>27</start>
      <end>28</end>
      <status>unmodified</status>
      <modifiedWord/>
      <trackRevisions>false</trackRevisions>
    </reviewItem>
    <reviewItem>
      <errorID>452c2fd5-7feb-4b98-a648-28df8cebe17e</errorID>
      <errorWord>各种</errorWord>
      <group>L1_Word</group>
      <groupName>字词问题</groupName>
      <ability>L2_Typo</ability>
      <abilityName>字词错误</abilityName>
      <candidateList>
        <item> 各种</item>
      </candidateList>
      <explain/>
      <paraID>78EE1534</paraID>
      <start>0</start>
      <end>2</end>
      <status>unmodified</status>
      <modifiedWord/>
      <trackRevisions>false</trackRevisions>
    </reviewItem>
    <reviewItem>
      <errorID>52b78f83-8d8e-435f-9587-e788c8e86fa4</errorID>
      <errorWord>与</errorWord>
      <group>L1_Word</group>
      <groupName>字词问题</groupName>
      <ability>L2_Typo</ability>
      <abilityName>字词错误</abilityName>
      <candidateList>
        <item> 和</item>
      </candidateList>
      <explain/>
      <paraID>78EE1534</paraID>
      <start>53</start>
      <end>54</end>
      <status>unmodified</status>
      <modifiedWord/>
      <trackRevisions>false</trackRevisions>
    </reviewItem>
    <reviewItem>
      <errorID>700cea68-1e8e-4cea-ada4-1e77d91bfc46</errorID>
      <errorWord>的</errorWord>
      <group>L1_Word</group>
      <groupName>字词问题</groupName>
      <ability>L2_Typo</ability>
      <abilityName>字词错误</abilityName>
      <candidateList>
        <item> 的</item>
      </candidateList>
      <explain/>
      <paraID>78EE1534</paraID>
      <start>81</start>
      <end>82</end>
      <status>unmodified</status>
      <modifiedWord/>
      <trackRevisions>false</trackRevisions>
    </reviewItem>
    <reviewItem>
      <errorID>efd3f5ee-743b-4189-a0f5-c7e031cb9ede</errorID>
      <errorWord>电网</errorWord>
      <group>L1_Word</group>
      <groupName>字词问题</groupName>
      <ability>L2_Typo</ability>
      <abilityName>字词错误</abilityName>
      <candidateList>
        <item> 电网</item>
      </candidateList>
      <explain/>
      <paraID>63C18A5F</paraID>
      <start>0</start>
      <end>2</end>
      <status>unmodified</status>
      <modifiedWord/>
      <trackRevisions>false</trackRevisions>
    </reviewItem>
    <reviewItem>
      <errorID>5f2b627e-3543-4001-ab86-7a572e2ccab5</errorID>
      <errorWord>线路</errorWord>
      <group>L1_Word</group>
      <groupName>字词问题</groupName>
      <ability>L2_Typo</ability>
      <abilityName>字词错误</abilityName>
      <candidateList>
        <item> 线路</item>
      </candidateList>
      <explain/>
      <paraID>63C18A5F</paraID>
      <start>65</start>
      <end>67</end>
      <status>unmodified</status>
      <modifiedWord/>
      <trackRevisions>false</trackRevisions>
    </reviewItem>
    <reviewItem>
      <errorID>25139400-4ff3-4868-88a2-2bf7dd2c994f</errorID>
      <errorWord>，</errorWord>
      <group>L1_Punc</group>
      <groupName>标点问题</groupName>
      <ability>L2_Punc_CN</ability>
      <abilityName>标点符号问题</abilityName>
      <candidateList>
        <item>；</item>
      </candidateList>
      <explain/>
      <paraID>177B41DD</paraID>
      <start>34</start>
      <end>35</end>
      <status>unmodified</status>
      <modifiedWord/>
      <trackRevisions>false</trackRevisions>
    </reviewItem>
    <reviewItem>
      <errorID>375a7702-42a2-4b07-896e-7947aab90052</errorID>
      <errorWord>（</errorWord>
      <group>L1_Punc</group>
      <groupName>标点问题</groupName>
      <ability>L2_Punc_CN</ability>
      <abilityName>标点符号问题</abilityName>
      <candidateList/>
      <explain>同一形式括号套用。</explain>
      <paraID>15C584B4</paraID>
      <start>45</start>
      <end>46</end>
      <status>unmodified</status>
      <modifiedWord/>
      <trackRevisions>false</trackRevisions>
    </reviewItem>
    <reviewItem>
      <errorID>c9089d27-87bf-4ade-b628-b1fff4861b4c</errorID>
      <errorWord>）</errorWord>
      <group>L1_Punc</group>
      <groupName>标点问题</groupName>
      <ability>L2_Punc_CN</ability>
      <abilityName>标点符号问题</abilityName>
      <candidateList/>
      <explain>同一形式括号套用。</explain>
      <paraID>15C584B4</paraID>
      <start>48</start>
      <end>49</end>
      <status>unmodified</status>
      <modifiedWord/>
      <trackRevisions>false</trackRevisions>
    </reviewItem>
    <reviewItem>
      <errorID>c7502b0f-9ac0-4c31-9475-e65a231edb4a</errorID>
      <errorWord>0</errorWord>
      <group>L1_Word</group>
      <groupName>字词问题</groupName>
      <ability>L2_Typo</ability>
      <abilityName>字词错误</abilityName>
      <candidateList>
        <item> 0</item>
      </candidateList>
      <explain/>
      <paraID>15C584B4</paraID>
      <start>51</start>
      <end>52</end>
      <status>unmodified</status>
      <modifiedWord/>
      <trackRevisions>false</trackRevisions>
    </reviewItem>
    <reviewItem>
      <errorID>95a5e125-a7f4-4c0d-ac30-561f445a0401</errorID>
      <errorWord>。</errorWord>
      <group>L1_Punc</group>
      <groupName>标点问题</groupName>
      <ability>L2_Punc_CN</ability>
      <abilityName>标点符号问题</abilityName>
      <candidateList>
        <item>；</item>
      </candidateList>
      <explain/>
      <paraID>15C584B4</paraID>
      <start>90</start>
      <end>91</end>
      <status>unmodified</status>
      <modifiedWord/>
      <trackRevisions>false</trackRevisions>
    </reviewItem>
    <reviewItem>
      <errorID>ec791e9b-257f-4f85-9916-3a63335506a2</errorID>
      <errorWord>工频</errorWord>
      <group>L1_Word</group>
      <groupName>字词问题</groupName>
      <ability>L2_Typo</ability>
      <abilityName>字词错误</abilityName>
      <candidateList>
        <item> 工频</item>
      </candidateList>
      <explain/>
      <paraID>52C1A80C</paraID>
      <start>0</start>
      <end>2</end>
      <status>unmodified</status>
      <modifiedWord/>
      <trackRevisions>false</trackRevisions>
    </reviewItem>
    <reviewItem>
      <errorID>b0922aab-af18-495c-a12f-99bd8559cb8d</errorID>
      <errorWord>计算</errorWord>
      <group>L1_Word</group>
      <groupName>字词问题</groupName>
      <ability>L2_Typo</ability>
      <abilityName>字词错误</abilityName>
      <candidateList>
        <item> 计算</item>
      </candidateList>
      <explain/>
      <paraID>3342BA86</paraID>
      <start>0</start>
      <end>2</end>
      <status>unmodified</status>
      <modifiedWord/>
      <trackRevisions>false</trackRevisions>
    </reviewItem>
    <reviewItem>
      <errorID>660777b3-d21b-4527-82d7-ff515e019c13</errorID>
      <errorWord>潜</errorWord>
      <group>L1_Word</group>
      <groupName>字词问题</groupName>
      <ability>L2_Typo</ability>
      <abilityName>字词错误</abilityName>
      <candidateList>
        <item> 潜</item>
      </candidateList>
      <explain/>
      <paraID>5B955A68</paraID>
      <start>0</start>
      <end>1</end>
      <status>unmodified</status>
      <modifiedWord/>
      <trackRevisions>false</trackRevisions>
    </reviewItem>
    <reviewItem>
      <errorID>36aa4a74-14e8-450a-a040-49eaabe77bcb</errorID>
      <errorWord>DL</errorWord>
      <group>L1_Word</group>
      <groupName>字词问题</groupName>
      <ability>L2_Typo</ability>
      <abilityName>字词错误</abilityName>
      <candidateList>
        <item> DL</item>
      </candidateList>
      <explain/>
      <paraID>1D8E3F69</paraID>
      <start>3</start>
      <end>5</end>
      <status>unmodified</status>
      <modifiedWord/>
      <trackRevisions>false</trackRevisions>
    </reviewItem>
    <reviewItem>
      <errorID>e812de5b-2400-4a97-b770-92deab781640</errorID>
      <errorWord>8</errorWord>
      <group>L1_Word</group>
      <groupName>字词问题</groupName>
      <ability>L2_Typo</ability>
      <abilityName>字词错误</abilityName>
      <candidateList>
        <item> 8</item>
      </candidateList>
      <explain/>
      <paraID>1D8E3F69</paraID>
      <start>28</start>
      <end>29</end>
      <status>unmodified</status>
      <modifiedWord/>
      <trackRevisions>false</trackRevisions>
    </reviewItem>
    <reviewItem>
      <errorID>3c2788e0-f682-4ac2-994f-8539e5b4636a</errorID>
      <errorWord>调整</errorWord>
      <group>L1_Word</group>
      <groupName>字词问题</groupName>
      <ability>L2_Typo</ability>
      <abilityName>字词错误</abilityName>
      <candidateList>
        <item> 调整</item>
      </candidateList>
      <explain/>
      <paraID>1D8E3F69</paraID>
      <start>39</start>
      <end>41</end>
      <status>unmodified</status>
      <modifiedWord/>
      <trackRevisions>false</trackRevisions>
    </reviewItem>
    <reviewItem>
      <errorID>0cffd938-4040-4da7-8fce-b38246ef6c34</errorID>
      <errorWord>条文</errorWord>
      <group>L1_Word</group>
      <groupName>字词问题</groupName>
      <ability>L2_Typo</ability>
      <abilityName>字词错误</abilityName>
      <candidateList>
        <item> 条文</item>
      </candidateList>
      <explain/>
      <paraID>26E2DA00</paraID>
      <start>28</start>
      <end>30</end>
      <status>unmodified</status>
      <modifiedWord/>
      <trackRevisions>false</trackRevisions>
    </reviewItem>
    <reviewItem>
      <errorID>48ddab03-4857-4b0e-9e5b-44db47ac0e22</errorID>
      <errorWord>8</errorWord>
      <group>L1_Word</group>
      <groupName>字词问题</groupName>
      <ability>L2_Typo</ability>
      <abilityName>字词错误</abilityName>
      <candidateList>
        <item> 8</item>
      </candidateList>
      <explain/>
      <paraID>26E2DA00</paraID>
      <start>32</start>
      <end>33</end>
      <status>unmodified</status>
      <modifiedWord/>
      <trackRevisions>false</trackRevisions>
    </reviewItem>
    <reviewItem>
      <errorID>3cda760f-f947-4a5a-a12c-0c4bfd1589b8</errorID>
      <errorWord> </errorWord>
      <group>L1_Grammar</group>
      <groupName>语法问题</groupName>
      <ability>L2_Grammar</ability>
      <abilityName>语法错误</abilityName>
      <candidateList>
        <item>/T </item>
      </candidateList>
      <explain/>
      <paraID>605CA89E</paraID>
      <start>5</start>
      <end>6</end>
      <status>unmodified</status>
      <modifiedWord/>
      <trackRevisions>false</trackRevisions>
    </reviewItem>
    <reviewItem>
      <errorID>d9818ad8-3419-47f7-afe2-8aa8501a5f93</errorID>
      <errorWord>电力系统电气计算设计规程</errorWord>
      <group>L1_Punc</group>
      <groupName>标点问题</groupName>
      <ability>L2_Punc_CN</ability>
      <abilityName>标点符号问题</abilityName>
      <candidateList>
        <item>《电力系统电气计算设计规程》</item>
      </candidateList>
      <explain/>
      <paraID>605CA89E</paraID>
      <start>16</start>
      <end>28</end>
      <status>unmodified</status>
      <modifiedWord/>
      <trackRevisions>false</trackRevisions>
    </reviewItem>
    <reviewItem>
      <errorID>9cc29049-35c2-4cbe-948c-2d97a8ac7842</errorID>
      <errorWord>&gt;</errorWord>
      <group>L1_Punc</group>
      <groupName>标点问题</groupName>
      <ability>L2_Punc_CN</ability>
      <abilityName>标点符号问题</abilityName>
      <candidateList/>
      <explain/>
      <paraID>184DE0C2</paraID>
      <start>7</start>
      <end>8</end>
      <status>unmodified</status>
      <modifiedWord/>
      <trackRevisions>false</trackRevisions>
    </reviewItem>
    <reviewItem>
      <errorID>8d9621a4-9bbf-4925-a3bb-5b3d37dee08c</errorID>
      <errorWord>:</errorWord>
      <group>L1_Format</group>
      <groupName>格式问题</groupName>
      <ability>L2_HalfPunc_CN</ability>
      <abilityName>全半角问题</abilityName>
      <candidateList>
        <item>：</item>
      </candidateList>
      <explain>文本全半角错误。</explain>
      <paraID>7EB440B3</paraID>
      <start>2</start>
      <end>3</end>
      <status>unmodified</status>
      <modifiedWord/>
      <trackRevisions>false</trackRevisions>
    </reviewItem>
    <reviewItem>
      <errorID>7d26b0b8-b907-48c8-b532-f6ff78781d5f</errorID>
      <errorWord>*</errorWord>
      <group>L1_Punc</group>
      <groupName>标点问题</groupName>
      <ability>L2_Punc_CN</ability>
      <abilityName>标点符号问题</abilityName>
      <candidateList/>
      <explain/>
      <paraID>5EE3519F</paraID>
      <start>7</start>
      <end>8</end>
      <status>unmodified</status>
      <modifiedWord/>
      <trackRevisions>false</trackRevisions>
    </reviewItem>
    <reviewItem>
      <errorID>b65b3c8a-c561-4135-a12e-0bf1e434e5da</errorID>
      <errorWord>(</errorWord>
      <group>L1_Format</group>
      <groupName>格式问题</groupName>
      <ability>L2_HalfPunc_CN</ability>
      <abilityName>全半角问题</abilityName>
      <candidateList>
        <item>（</item>
      </candidateList>
      <explain>文本全半角错误。</explain>
      <paraID>5EE3519F</paraID>
      <start>19</start>
      <end>20</end>
      <status>unmodified</status>
      <modifiedWord/>
      <trackRevisions>false</trackRevisions>
    </reviewItem>
    <reviewItem>
      <errorID>d44a376f-16ee-47ce-9e14-c2a4f0aebf99</errorID>
      <errorWord>)</errorWord>
      <group>L1_Format</group>
      <groupName>格式问题</groupName>
      <ability>L2_HalfPunc_CN</ability>
      <abilityName>全半角问题</abilityName>
      <candidateList>
        <item>）</item>
      </candidateList>
      <explain>文本全半角错误。</explain>
      <paraID>5EE3519F</paraID>
      <start>37</start>
      <end>38</end>
      <status>unmodified</status>
      <modifiedWord/>
      <trackRevisions>false</trackRevisions>
    </reviewItem>
    <reviewItem>
      <errorID>fdbe6292-e447-4fa3-9424-a98d632e9d83</errorID>
      <errorWord>(</errorWord>
      <group>L1_Format</group>
      <groupName>格式问题</groupName>
      <ability>L2_HalfPunc_CN</ability>
      <abilityName>全半角问题</abilityName>
      <candidateList>
        <item>（</item>
      </candidateList>
      <explain>文本全半角错误。</explain>
      <paraID>3C95CB96</paraID>
      <start>42</start>
      <end>43</end>
      <status>unmodified</status>
      <modifiedWord/>
      <trackRevisions>false</trackRevisions>
    </reviewItem>
    <reviewItem>
      <errorID>0471ec18-7dae-4cbb-9c0f-547e1586a16b</errorID>
      <errorWord>)</errorWord>
      <group>L1_Format</group>
      <groupName>格式问题</groupName>
      <ability>L2_HalfPunc_CN</ability>
      <abilityName>全半角问题</abilityName>
      <candidateList>
        <item>）</item>
      </candidateList>
      <explain>文本全半角错误。</explain>
      <paraID>3C95CB96</paraID>
      <start>54</start>
      <end>55</end>
      <status>unmodified</status>
      <modifiedWord/>
      <trackRevisions>false</trackRevisions>
    </reviewItem>
    <reviewItem>
      <errorID>4bf200f3-5f24-4c6f-8b9b-32dfa12aa8b3</errorID>
      <errorWord>T5429</errorWord>
      <group>L1_Word</group>
      <groupName>字词问题</groupName>
      <ability>L2_Typo</ability>
      <abilityName>字词错误</abilityName>
      <candidateList>
        <item>T 5429</item>
      </candidateList>
      <explain/>
      <paraID>3CCB3B66</paraID>
      <start>6</start>
      <end>11</end>
      <status>unmodified</status>
      <modifiedWord/>
      <trackRevisions>false</trackRevisions>
    </reviewItem>
    <reviewItem>
      <errorID>2e568ef0-023b-47da-a3ec-a1feece403b4</errorID>
      <errorWord>电力系统设计技术规程</errorWord>
      <group>L1_Punc</group>
      <groupName>标点问题</groupName>
      <ability>L2_Punc_CN</ability>
      <abilityName>标点符号问题</abilityName>
      <candidateList>
        <item>《电力系统设计技术规程》</item>
      </candidateList>
      <explain/>
      <paraID>3CCB3B66</paraID>
      <start>12</start>
      <end>22</end>
      <status>unmodified</status>
      <modifiedWord/>
      <trackRevisions>false</trackRevisions>
    </reviewItem>
    <reviewItem>
      <errorID>17bf45d3-e9da-4c46-a464-af32faa3b950</errorID>
      <errorWord>方式</errorWord>
      <group>L1_Punc</group>
      <groupName>标点问题</groupName>
      <ability>L2_Punc_CN</ability>
      <abilityName>标点符号问题</abilityName>
      <candidateList>
        <item>、方式</item>
      </candidateList>
      <explain/>
      <paraID>26F7BB37</paraID>
      <start>42</start>
      <end>44</end>
      <status>unmodified</status>
      <modifiedWord/>
      <trackRevisions>false</trackRevisions>
    </reviewItem>
    <reviewItem>
      <errorID>6c9b7eb1-62da-42bc-8c0e-0d37dcd9ca5b</errorID>
      <errorWord>不同</errorWord>
      <group>L1_Word</group>
      <groupName>字词问题</groupName>
      <ability>L2_Typo</ability>
      <abilityName>字词错误</abilityName>
      <candidateList>
        <item>的不同</item>
      </candidateList>
      <explain/>
      <paraID>26F7BB37</paraID>
      <start>55</start>
      <end>57</end>
      <status>unmodified</status>
      <modifiedWord/>
      <trackRevisions>false</trackRevisions>
    </reviewItem>
    <reviewItem>
      <errorID>c81bb57a-b2ae-4a9d-9f43-86068bb8fe69</errorID>
      <errorWord>贵州</errorWord>
      <group>L1_Punc</group>
      <groupName>标点问题</groupName>
      <ability>L2_Punc_CN</ability>
      <abilityName>标点符号问题</abilityName>
      <candidateList>
        <item>《贵州</item>
      </candidateList>
      <explain/>
      <paraID> C9B9A48</paraID>
      <start>11</start>
      <end>13</end>
      <status>unmodified</status>
      <modifiedWord/>
      <trackRevisions>false</trackRevisions>
    </reviewItem>
    <reviewItem>
      <errorID>6093a9aa-0df9-4c71-904c-7e667495c304</errorID>
      <errorWord>贵州</errorWord>
      <group>L1_Word</group>
      <groupName>字词问题</groupName>
      <ability>L2_Typo</ability>
      <abilityName>字词错误</abilityName>
      <candidateList>
        <item> 贵州</item>
      </candidateList>
      <explain/>
      <paraID> C9B9A48</paraID>
      <start>23</start>
      <end>25</end>
      <status>unmodified</status>
      <modifiedWord/>
      <trackRevisions>false</trackRevisions>
    </reviewItem>
    <reviewItem>
      <errorID>1a5b9f31-085f-4c7e-8b11-bc87472318c0</errorID>
      <errorWord>5</errorWord>
      <group>L1_Punc</group>
      <groupName>标点问题</groupName>
      <ability>L2_Punc_CN</ability>
      <abilityName>标点符号问题</abilityName>
      <candidateList>
        <item>》5</item>
      </candidateList>
      <explain/>
      <paraID> C9B9A48</paraID>
      <start>36</start>
      <end>37</end>
      <status>unmodified</status>
      <modifiedWord/>
      <trackRevisions>false</trackRevisions>
    </reviewItem>
    <reviewItem>
      <errorID>53098426-20a7-4a01-b5f2-f6ed36c25f9d</errorID>
      <errorWord>525/34SkV</errorWord>
      <group>L1_Other</group>
      <groupName>其他问题</groupName>
      <ability>L2_Consistency</ability>
      <abilityName>一致性检查</abilityName>
      <candidateList>
        <item>525/345kV</item>
      </candidateList>
      <explain>数字一致性问题，‘525/34SkV’中的‘S’可能为错误字符，应与前文‘525/345kV’保持一致</explain>
      <paraID>2464D479</paraID>
      <start>41</start>
      <end>50</end>
      <status>unmodified</status>
      <modifiedWord/>
      <trackRevisions>false</trackRevisions>
    </reviewItem>
    <reviewItem>
      <errorID>6a3868d2-9189-46b8-b00e-1cdd56719df8</errorID>
      <errorWord>..</errorWord>
      <group>L1_Punc</group>
      <groupName>标点问题</groupName>
      <ability>L2_Punc_CN</ability>
      <abilityName>标点符号问题</abilityName>
      <candidateList>
        <item>.</item>
      </candidateList>
      <explain/>
      <paraID>7CBB5DFC</paraID>
      <start>0</start>
      <end>2</end>
      <status>unmodified</status>
      <modifiedWord/>
      <trackRevisions>false</trackRevisions>
    </reviewItem>
    <reviewItem>
      <errorID>94777dbb-89c5-438b-9f2f-25b66937c1cf</errorID>
      <errorWord>..</errorWord>
      <group>L1_Punc</group>
      <groupName>标点问题</groupName>
      <ability>L2_Punc_CN</ability>
      <abilityName>标点符号问题</abilityName>
      <candidateList>
        <item>.</item>
      </candidateList>
      <explain/>
      <paraID>3B118063</paraID>
      <start>0</start>
      <end>2</end>
      <status>unmodified</status>
      <modifiedWord/>
      <trackRevisions>false</trackRevisions>
    </reviewItem>
    <reviewItem>
      <errorID>2ada888c-59f8-454f-8f67-c8aa25b214c1</errorID>
      <errorWord>.</errorWord>
      <group>L1_Punc</group>
      <groupName>标点问题</groupName>
      <ability>L2_Punc_CN</ability>
      <abilityName>标点符号问题</abilityName>
      <candidateList/>
      <explain/>
      <paraID>297728EA</paraID>
      <start>0</start>
      <end>1</end>
      <status>unmodified</status>
      <modifiedWord/>
      <trackRevisions>false</trackRevisions>
    </reviewItem>
    <reviewItem>
      <errorID>8ce215a8-92e6-4de0-8d47-99dd0ef917a5</errorID>
      <errorWord>..</errorWord>
      <group>L1_Punc</group>
      <groupName>标点问题</groupName>
      <ability>L2_Punc_CN</ability>
      <abilityName>标点符号问题</abilityName>
      <candidateList>
        <item>.</item>
      </candidateList>
      <explain/>
      <paraID>5B694F68</paraID>
      <start>0</start>
      <end>2</end>
      <status>unmodified</status>
      <modifiedWord/>
      <trackRevisions>false</trackRevisions>
    </reviewItem>
    <reviewItem>
      <errorID>a3554107-6c62-49bd-8ed5-c499ac710332</errorID>
      <errorWord>.</errorWord>
      <group>L1_Punc</group>
      <groupName>标点问题</groupName>
      <ability>L2_Punc_CN</ability>
      <abilityName>标点符号问题</abilityName>
      <candidateList/>
      <explain/>
      <paraID>72181DAC</paraID>
      <start>0</start>
      <end>1</end>
      <status>unmodified</status>
      <modifiedWord/>
      <trackRevisions>false</trackRevisions>
    </reviewItem>
    <reviewItem>
      <errorID>09c1b93f-5444-40c3-902d-1bf9743e7cd6</errorID>
      <errorWord>三项</errorWord>
      <group>L1_Word</group>
      <groupName>字词问题</groupName>
      <ability>L2_Typo</ability>
      <abilityName>字词错误</abilityName>
      <candidateList>
        <item>三相</item>
      </candidateList>
      <explain/>
      <paraID>223747F9</paraID>
      <start>23</start>
      <end>25</end>
      <status>unmodified</status>
      <modifiedWord/>
      <trackRevisions>false</trackRevisions>
    </reviewItem>
    <reviewItem>
      <errorID>c9a11134-40f3-4d53-ba58-f8e2db1d01c8</errorID>
      <errorWord>swi</errorWord>
      <group>L1_English</group>
      <groupName>英文问题</groupName>
      <ability>L2_Case</ability>
      <abilityName>大小写问题</abilityName>
      <candidateList>
        <item>SWI</item>
      </candidateList>
      <explain>疑似单词大小写错误，建议将swi修改为SWI</explain>
      <paraID>457C9226</paraID>
      <start>14</start>
      <end>17</end>
      <status>unmodified</status>
      <modifiedWord/>
      <trackRevisions>false</trackRevisions>
    </reviewItem>
    <reviewItem>
      <errorID>d2b93844-19ba-4695-b8bb-80dc32ca5b04</errorID>
      <errorWord>结算结果</errorWord>
      <group>L1_Word</group>
      <groupName>字词问题</groupName>
      <ability>L2_Typo</ability>
      <abilityName>字词错误</abilityName>
      <candidateList>
        <item>计算结果</item>
      </candidateList>
      <explain/>
      <paraID> F7E91EE</paraID>
      <start>17</start>
      <end>21</end>
      <status>unmodified</status>
      <modifiedWord/>
      <trackRevisions>false</trackRevisions>
    </reviewItem>
    <reviewItem>
      <errorID>2fd6c706-5705-4eeb-91d1-0a7b1d8b8fe5</errorID>
      <errorWord>复制进</errorWord>
      <group>L1_Word</group>
      <groupName>字词问题</groupName>
      <ability>L2_Typo</ability>
      <abilityName>字词错误</abilityName>
      <candidateList>
        <item>复制到</item>
      </candidateList>
      <explain/>
      <paraID> 28B4120</paraID>
      <start>11</start>
      <end>14</end>
      <status>unmodified</status>
      <modifiedWord/>
      <trackRevisions>false</trackRevisions>
    </reviewItem>
    <reviewItem>
      <errorID>5740e7aa-9387-4e83-aae2-5f5338578fd9</errorID>
      <errorWord>swi</errorWord>
      <group>L1_English</group>
      <groupName>英文问题</groupName>
      <ability>L2_Case</ability>
      <abilityName>大小写问题</abilityName>
      <candidateList>
        <item>SWI</item>
      </candidateList>
      <explain>疑似单词大小写错误，建议将swi修改为SWI</explain>
      <paraID> 28B4120</paraID>
      <start>14</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D09931-7418-494E-9F04-382F79948CBB}">
  <ds:schemaRefs/>
</ds:datastoreItem>
</file>

<file path=customXml/itemProps3.xml><?xml version="1.0" encoding="utf-8"?>
<ds:datastoreItem xmlns:ds="http://schemas.openxmlformats.org/officeDocument/2006/customXml" ds:itemID="{f6ec7b86-848b-4e15-aa40-53a2e9cb2ddb}">
  <ds:schemaRefs/>
</ds:datastoreItem>
</file>

<file path=docProps/app.xml><?xml version="1.0" encoding="utf-8"?>
<Properties xmlns="http://schemas.openxmlformats.org/officeDocument/2006/extended-properties" xmlns:vt="http://schemas.openxmlformats.org/officeDocument/2006/docPropsVTypes">
  <Template>Normal.dotm</Template>
  <Pages>29</Pages>
  <Words>8892</Words>
  <Characters>9539</Characters>
  <Lines>155</Lines>
  <Paragraphs>43</Paragraphs>
  <TotalTime>0</TotalTime>
  <ScaleCrop>false</ScaleCrop>
  <LinksUpToDate>false</LinksUpToDate>
  <CharactersWithSpaces>9707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2026-06-08T03:32:00Z</dcterms:created>
  <dc:creator>lizhipeng</dc:creator>
  <cp:lastModifiedBy>123</cp:lastModifiedBy>
  <dcterms:modified xsi:type="dcterms:W3CDTF">2026-07-20T07:31:48Z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EB615B36860B40D6A14CD9DA9DCA3290</vt:lpwstr>
  </property>
  <property fmtid="{D5CDD505-2E9C-101B-9397-08002B2CF9AE}" pid="4" name="KSOTemplateDocerSaveRecord">
    <vt:lpwstr>eyJoZGlkIjoiNTcyN2YyM2M1NWQ2MjNmODc1ZDcxMzdmNDc3MzA0NmQiLCJ1c2VySWQiOiIxMjU5OTkxMTQwIn0=</vt:lpwstr>
  </property>
</Properties>
</file>