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60" w:lineRule="exact"/>
        <w:jc w:val="center"/>
        <w:textAlignment w:val="auto"/>
        <w:rPr>
          <w:rFonts w:hint="eastAsia" w:asciiTheme="minorHAnsi" w:eastAsiaTheme="minorEastAsia"/>
          <w:b/>
          <w:bCs/>
          <w:kern w:val="2"/>
          <w:sz w:val="44"/>
          <w:szCs w:val="44"/>
          <w:lang w:eastAsia="zh-CN"/>
        </w:rPr>
      </w:pPr>
      <w:r>
        <w:rPr>
          <w:rFonts w:hint="eastAsia" w:asciiTheme="minorHAnsi" w:eastAsiaTheme="minorEastAsia"/>
          <w:b/>
          <w:bCs/>
          <w:kern w:val="2"/>
          <w:sz w:val="44"/>
          <w:szCs w:val="44"/>
          <w:lang w:eastAsia="zh-CN"/>
        </w:rPr>
        <w:t>深圳市电力行业协会</w:t>
      </w:r>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Theme="minorHAnsi" w:eastAsiaTheme="minorEastAsia"/>
          <w:b/>
          <w:bCs/>
          <w:kern w:val="2"/>
          <w:sz w:val="44"/>
          <w:szCs w:val="44"/>
          <w:lang w:eastAsia="zh-CN"/>
        </w:rPr>
      </w:pPr>
      <w:r>
        <w:rPr>
          <w:rFonts w:hint="eastAsia" w:asciiTheme="minorHAnsi" w:eastAsiaTheme="minorEastAsia"/>
          <w:b/>
          <w:bCs/>
          <w:kern w:val="2"/>
          <w:sz w:val="44"/>
          <w:szCs w:val="44"/>
          <w:lang w:eastAsia="zh-CN"/>
        </w:rPr>
        <w:t>《额定电压6kV（Um=7.2kV）～35kV（Um=40.5kV）铜芯导体交联聚乙烯绝缘电力电缆熔接头技术规范》</w:t>
      </w:r>
      <w:r>
        <w:rPr>
          <w:rFonts w:hint="eastAsia" w:asciiTheme="minorHAnsi" w:eastAsiaTheme="minorEastAsia"/>
          <w:b/>
          <w:bCs/>
          <w:kern w:val="2"/>
          <w:sz w:val="44"/>
          <w:szCs w:val="44"/>
          <w:lang w:eastAsia="zh-CN"/>
        </w:rPr>
        <w:br w:type="textWrapping"/>
      </w:r>
      <w:r>
        <w:rPr>
          <w:rFonts w:hint="eastAsia" w:asciiTheme="minorHAnsi" w:eastAsiaTheme="minorEastAsia"/>
          <w:b/>
          <w:bCs/>
          <w:kern w:val="2"/>
          <w:sz w:val="44"/>
          <w:szCs w:val="44"/>
          <w:lang w:eastAsia="zh-CN"/>
        </w:rPr>
        <w:t>团体标准编制说明</w:t>
      </w:r>
    </w:p>
    <w:p>
      <w:pPr>
        <w:pStyle w:val="3"/>
        <w:pageBreakBefore w:val="0"/>
        <w:widowControl w:val="0"/>
        <w:numPr>
          <w:ilvl w:val="0"/>
          <w:numId w:val="0"/>
        </w:numPr>
        <w:kinsoku/>
        <w:wordWrap/>
        <w:overflowPunct/>
        <w:topLinePunct w:val="0"/>
        <w:autoSpaceDE/>
        <w:autoSpaceDN/>
        <w:bidi w:val="0"/>
        <w:adjustRightInd/>
        <w:snapToGrid/>
        <w:spacing w:before="0" w:after="0" w:line="560" w:lineRule="exact"/>
        <w:ind w:firstLine="560" w:firstLineChars="200"/>
        <w:textAlignment w:val="auto"/>
        <w:rPr>
          <w:rFonts w:hint="eastAsia" w:hAnsi="Arial" w:eastAsia="黑体" w:asciiTheme="minorHAnsi"/>
          <w:b w:val="0"/>
          <w:bCs/>
          <w:kern w:val="2"/>
          <w:sz w:val="28"/>
          <w:szCs w:val="28"/>
          <w:lang w:eastAsia="zh-CN"/>
        </w:rPr>
      </w:pPr>
      <w:r>
        <w:rPr>
          <w:rFonts w:hint="eastAsia" w:hAnsi="Arial" w:eastAsia="黑体" w:asciiTheme="minorHAnsi"/>
          <w:b w:val="0"/>
          <w:bCs/>
          <w:kern w:val="2"/>
          <w:sz w:val="28"/>
          <w:szCs w:val="28"/>
          <w:lang w:eastAsia="zh-CN"/>
        </w:rPr>
        <w:t>一、工作简况</w:t>
      </w: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420" w:leftChars="0" w:firstLine="208" w:firstLineChars="74"/>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（一）任务来源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额定电压6kV～35kV铜芯导体交联聚乙烯绝缘电力电缆是中低压配电网的主干线路，其运行可靠性直接关系到供电安全和用户用电体验。中间接头作为电缆线路中最薄弱的环节，长期面临运行故障率偏高、使用寿命难以与电缆本体匹配等问题。传统接头方式因存在活动界面、导体连接电阻偏大、电场分布不均等固有局限，在长期运行中易发生绝缘击穿或发热烧损故障，已成为制约电缆线路整体可靠性的突出短板。</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电缆熔接技术（熔接头）是近年来发展起来的一项新型电缆连接技术。它采用放热焊接实现导体的无界面连接，通过模塑熔接工艺逐层恢复内半导电层、主绝缘层和外半导电层，使接头区域完全重现电缆的本体结构。该技术已在电网改造、轨道交通、新能源场站等重大工程中取得应用，在降低故障率、延长使用寿命、减少维护成本等方面展现出显著优势。</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然而，目前国内尚缺乏专门针对熔接头这一特定技术路线的系统性技术规范。由于缺少统一的技术要求和检验依据，不同厂家生产的熔接头产品质量参差不齐，施工工艺缺乏标准化指导，工程验收时也无明确的技术指标可供参照，一定程度上制约了该技术的规范推广和规模化应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本标准制定项目由深圳供电局有限公司提出，编制立项建议书并开展前期调研论证，经深圳市电力行业协会组织专家立项评审通过后批准立项并归口管理。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本标准仅适用于 6kV（Um=7.2kV）～35kV（Um=40.5kV）铜芯交联聚乙烯绝缘电力电缆现场熔接头制作。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（二）主要工作过程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1）调研考察。</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编制组系统调研了国内外已有或在研的类似标准规范，分析其与本标准的相关性与借鉴价值。国内已形成涵盖工程建设、产品试验和专项施工等环节的标准体系。编制组结合深圳市电力工程建设的实际情况和相关企业的实际需求，确定了本标准的编制原则及主要内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2）集中管理、落实责任</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标准编制单位组织编制组成员按分工和进度计划开展工作。各参编单位对本单位承担的任务的进展和完成的质量负责；各单位设联络人，按进度计划的要求提交工作成果；各章设负责人，负责组织各参编单位开展各章节的研究、编撰工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3）编制组会议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编制组定期召开工作会议，各参编单位和章节负责人在会前充分准备，按时提交相关的工作成果，确保完成会议任务，每次会议形成会议纪要，作为标准编制归档支撑材料。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4）专题研讨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en-US"/>
        </w:rPr>
      </w:pPr>
      <w:r>
        <w:rPr>
          <w:rFonts w:hint="eastAsia" w:hAnsi="仿宋" w:eastAsia="仿宋" w:cs="仿宋" w:asciiTheme="minorAscii"/>
          <w:sz w:val="28"/>
          <w:szCs w:val="28"/>
          <w:lang w:val="en-US" w:eastAsia="en-US"/>
        </w:rPr>
        <w:t>适时召开专题研讨会，邀请电力电缆领域相关技术的专家参加，重点研讨导体等径焊接质量控制、主绝缘层无界面恢复、半导电层断口电场控制、现场环境适应性等关键技术难点，形成统一参数，转化为标准、核心条款。</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en-US"/>
        </w:rPr>
      </w:pPr>
      <w:r>
        <w:rPr>
          <w:rFonts w:hint="eastAsia" w:hAnsi="仿宋" w:eastAsia="仿宋" w:cs="仿宋" w:asciiTheme="minorAscii"/>
          <w:sz w:val="28"/>
          <w:szCs w:val="28"/>
          <w:lang w:val="en-US" w:eastAsia="en-US"/>
        </w:rPr>
        <w:t>5）文稿编制与征求意见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en-US"/>
        </w:rPr>
      </w:pPr>
      <w:r>
        <w:rPr>
          <w:rFonts w:hint="eastAsia" w:hAnsi="仿宋" w:eastAsia="仿宋" w:cs="仿宋" w:asciiTheme="minorAscii"/>
          <w:sz w:val="28"/>
          <w:szCs w:val="28"/>
          <w:lang w:val="en-US" w:eastAsia="en-US"/>
        </w:rPr>
        <w:t>结合调研、试验、专家研讨成果，编制组完成标准草案多轮内部修订，形成征求意见稿，配套编制本编制说明、试验验证资料，启动对外征求意见工作。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二、主要技术指标确定依据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（1）GB/T 12706.2—2020《额定电压1kV（Um=1.2kV）到35kV（Um=40.5kV）挤包绝缘电力电缆及附件 第2部分：额定电压6kV（Um=7.2kV）至30kV（Um=36kV）电缆》；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（2）GB/T 12706.3—2020《额定电压1kV（Um=1.2kV）到35kV（Um=40.5kV）挤包绝缘电力电缆及附件 第3部分：额定电压35kV（Um=40.5kV）电缆》；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（3）GB/T 12706.4—2020《额定电压1kV（Um=1.2kV）到35kV（Um=40.5kV）挤包绝缘电力电缆及附件 第4部分：额定电压6kV（Um=7.2kV）至35kV（Um=40.5kV）电力电缆附件试验要求》；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（4）GB/T 50168-2018《电气装置安装工程 电缆线路施工及验收标准》；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（5）GB/T 18889—2002《额定电压6kV（Um=7.2kV）到35kV（Um=40.5kV）电力电缆附件试验方法》；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（6）GB/T 50150-2016《电气装置安装工程 电气设备交接试验标准》；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（7）DL/T 1315《电力工程接地装置放热焊剂技术条件》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（8）DL/T 1576《6kV~35kV电缆振荡波局部放电测试方法》；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（9）T/GSIE 14-2024《额定电压6kV到35kV交联聚乙烯绝缘电力电缆熔接头》；</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（10）Q/CSG 1205056.3-2022 中国南方电网有限责任公司电力安全工作规程 第3部分：配电。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三、主要试验（验证）的分析、综述报告、预期的经济效果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（1）根据对电缆熔接施工工艺、电缆本体逐层恢复原理等的专项研究成果和总结，通过本标准，补充、衔接国家和行业在电缆中间接头领域，特别是熔接头专项技术规范方面的相关标准。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2）积极落实国家关于推动配电网改造升级和提升电网供电可靠性的相关部署，满足深圳市对电力电缆线路安全运行和高可靠性供电的要求，能够完善深圳市电力电缆熔接头技术的标准体系建设，为电网安全稳定运行提供技术支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（3）鼓励电缆附件制造企业和工程施工单位主动采用先进、可靠的熔接头技术，推动企业在电缆线路建设与运维中更加注重施工质量、运行安全和全生命周期管理，促进电力电缆行业向高质量、可持续性发展。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（4）有助于提升我国中低压配电网电缆线路的整体运行可靠性，降低因接头故障引发的停电事故，保障社会生产和居民生活的正常用电，提升供电企业的经济效益和社会效益。</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四、采用国际标准的程度及水平的简要说明</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目前，国际上尚未检索到专门针对额定电压6kV（Um=7.2kV）～35kV（Um=40.5kV）铜芯导体交联聚乙烯绝缘电力电缆熔接头的技术标准。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本标准在制定过程中，充分参考和借鉴了国际电工委员会（IEC）和电气电子工程师学会（IEEE）相关电缆附件标准的技术要求和试验方法，主要包括：</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（1）IEC 60502-4《额定电压1kV到30kV挤包绝缘电力电缆及其附件 第4部分：附件的试验要求》：规定了与熔接头电压等级（最高30kV/36kV）对应的附件的型式试验要求，我国GB/T 12706.4-2020在技术上是修改采用了该标准。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（2）IEC 61442《额定电压6kV至30kV电力电缆附件的试验方法》：专门规定了附件的具体试验方法，可作为熔接头试验的补充参考。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（3）IEEE Std 404-2022《额定电压2.5kV至500kV挤包和层压介质屏蔽电缆接头的标准》：涵盖了广泛的电压等级，提供了电气额定值和测试要求，其宽泛的电压覆盖为熔接头标准的高压延伸提供了参考。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本标准在引用上述国际标准的基础上，结合我国电力工程建设实际和熔接头技术特点，对使用条件、技术要求、试验方法、检验验收规则以及包装、运输及贮存等进行了系统规定。整体技术水平与国内现行相关标准协调一致，并充分吸收了国际先进经验，具有较好的先进性和适用性。</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五、团体标准先进性说明</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本标准针对额定电压6kV（Um=7.2kV）～35kV（Um=40.5kV）铜芯导体交联聚乙烯绝缘电力电缆熔接头，系统规定了术语和定义、使用特性、产品的型号和表示方法、技术要求、试验方法、检验验收规则以及包装、运输及贮存等内容，适用于该类熔接头的设计、制造、质量检验和工程验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与国内现有T/GSEE 14-2024《额定电压6kV到35kV交联聚乙烯绝缘电力电缆熔接头》相比，本标准在完全兼容其核心电气与机械性能指标的基础上，与其形成“基础性能+实施细节”的互补关系。T/GSEE 14-2024侧重于产品整体的技术要求、试验方法和检验规则，偏重解决“产品如何检验”的问题；本标准侧重于熔接头施工工艺的全流程系统规范，重点解决“工艺如何实施、过程如何验收、质量如何追溯”的问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本标准的主要先进性体现在以下三个方面：</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bookmarkStart w:id="0" w:name="OLE_LINK1"/>
      <w:r>
        <w:rPr>
          <w:rFonts w:hint="eastAsia" w:hAnsi="仿宋" w:eastAsia="仿宋" w:cs="仿宋" w:asciiTheme="minorAscii"/>
          <w:sz w:val="28"/>
          <w:szCs w:val="28"/>
          <w:lang w:val="en-US" w:eastAsia="zh-CN"/>
        </w:rPr>
        <w:t>（1）施工工艺微观量化与安全风控创新。针对T/GSEE 14-2024对现场施工工艺着墨较少的不足，本标准首次将动火作业风险管控纳入标准体系，精准定义一级动火区、二级动火区及其他区域，明确禁止动火的9类具体条件，将安全管控前置到施工决策阶段。同时，对导体焊接质量提出微观量化验收标准（如焊接点直径差不小于电缆导体直径且二者直径差≤2mm、气孔深度不超过焊接处导体的1/4直径且最大单个气孔不超过3mm、剖面气孔数≤1个/cm²等），并增加焊接过程中线芯绝缘断口温度不宜超过80℃的强制要求，将依赖工匠经验的环节转化为可测量、可复验的标准化操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（2）过程验收影像化与差异化创新。T/GSEE 14-2024未涉及施工过程记录要求，本标准强制规定对关键施工步骤进行影像资料留存，从线芯熔接前尺寸、焊接后形态到各层恢复及整体挂牌，形成可视化的隐蔽工程档案，实现施工质量的“过程留证、事后可溯”。在竣工试验环节，针对新投运（1年以内）与已运行（1年以上）线路分别设定最高试验电压下熔接头局放量≤300pC和≤500pC的差异化局部放电验收指标，使验收标准更贴合设备实际状态，更具工程实操性。</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（3）质量追溯编码化与实体化创新。在T/GSEE 14-2024一般性包装贮存要求的基础上，本标准建立从包装箱（含二维码）到接头本体（内外304不锈钢标签）的三级永久性标签体系，制定15位统一出厂编码规则，通过耐高温、耐腐蚀的实体标签实现产品从出厂到报废的全生命周期质量追溯，解决传统电缆接头难以确权溯源的行业痛点。</w:t>
      </w:r>
    </w:p>
    <w:bookmarkEnd w:id="0"/>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通过以上创新，本标准与T/GSEE 14-2024形成“基础性能+实施细节”的有机互补，共同构建从“产品合格”到“施工优质、过程受控、全程可溯”的完整标准应用闭环，填补了熔接头施工工艺及过程管理标准领域的空白，对推动熔接头技术在配电网中的规范化应用、提升电缆线路整体运行可靠性具有重要意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征求意见过程中主要分歧条款的处理情况</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560" w:firstLineChars="200"/>
        <w:textAlignment w:val="auto"/>
        <w:rPr>
          <w:rFonts w:hint="default" w:hAnsi="仿宋" w:eastAsia="仿宋" w:cs="仿宋" w:asciiTheme="minorAscii"/>
          <w:sz w:val="28"/>
          <w:szCs w:val="28"/>
          <w:lang w:val="en-US" w:eastAsia="zh-CN"/>
        </w:rPr>
      </w:pPr>
      <w:r>
        <w:rPr>
          <w:rFonts w:hint="eastAsia" w:hAnsi="仿宋" w:eastAsia="仿宋" w:cs="仿宋" w:asciiTheme="minorAscii"/>
          <w:sz w:val="28"/>
          <w:szCs w:val="28"/>
          <w:lang w:val="en-US" w:eastAsia="zh-CN"/>
        </w:rPr>
        <w:t xml:space="preserve">   </w:t>
      </w:r>
      <w:bookmarkStart w:id="1" w:name="_GoBack"/>
      <w:bookmarkEnd w:id="1"/>
      <w:r>
        <w:rPr>
          <w:rFonts w:hint="eastAsia" w:hAnsi="仿宋" w:eastAsia="仿宋" w:cs="仿宋" w:asciiTheme="minorAscii"/>
          <w:sz w:val="28"/>
          <w:szCs w:val="28"/>
          <w:lang w:val="en-US" w:eastAsia="zh-CN"/>
        </w:rPr>
        <w:t>待定。</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七、其它应予说明的事项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（1）关于专利。请注意本标准的某些内容可能涉及专利。本标准的发布机构不承担识别专利的责任。</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（2）本标准为新制定标准，为首次发布。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Ansi="仿宋" w:eastAsia="仿宋" w:cs="仿宋" w:asciiTheme="minorAscii"/>
          <w:sz w:val="28"/>
          <w:szCs w:val="28"/>
          <w:lang w:val="en-US" w:eastAsia="zh-CN"/>
        </w:rPr>
      </w:pPr>
      <w:r>
        <w:rPr>
          <w:rFonts w:hint="eastAsia" w:hAnsi="仿宋" w:eastAsia="仿宋" w:cs="仿宋" w:asciiTheme="minorAscii"/>
          <w:sz w:val="28"/>
          <w:szCs w:val="28"/>
          <w:lang w:val="en-US" w:eastAsia="zh-CN"/>
        </w:rPr>
        <w:t>（3）本标准与现行国家标准、行业标准协调一致，是对现有电缆附件标准体系的补充和完善。</w:t>
      </w:r>
    </w:p>
    <w:sectPr>
      <w:pgSz w:w="12240" w:h="15840"/>
      <w:pgMar w:top="1440" w:right="1440" w:bottom="1440" w:left="144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389F0"/>
    <w:multiLevelType w:val="singleLevel"/>
    <w:tmpl w:val="181389F0"/>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5E2C75"/>
    <w:rsid w:val="37D60710"/>
    <w:rsid w:val="3FBE6973"/>
    <w:rsid w:val="61BB2B01"/>
    <w:rsid w:val="731127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heme="minorHAnsi" w:eastAsiaTheme="minorHAnsi" w:cstheme="minorBidi"/>
      <w:sz w:val="22"/>
      <w:szCs w:val="22"/>
      <w:lang w:val="en-US" w:eastAsia="en-US" w:bidi="ar-SA"/>
    </w:rPr>
  </w:style>
  <w:style w:type="paragraph" w:styleId="2">
    <w:name w:val="heading 1"/>
    <w:next w:val="1"/>
    <w:qFormat/>
    <w:uiPriority w:val="9"/>
    <w:pPr>
      <w:keepNext/>
      <w:keepLines/>
      <w:spacing w:before="480" w:after="120" w:line="240" w:lineRule="atLeast"/>
      <w:outlineLvl w:val="0"/>
    </w:pPr>
    <w:rPr>
      <w:rFonts w:ascii="Times New Roman" w:hAnsiTheme="minorHAnsi" w:eastAsiaTheme="minorHAnsi" w:cstheme="minorBidi"/>
      <w:b/>
      <w:sz w:val="48"/>
      <w:szCs w:val="48"/>
      <w:lang w:val="en-US" w:eastAsia="en-US" w:bidi="ar-SA"/>
    </w:rPr>
  </w:style>
  <w:style w:type="paragraph" w:styleId="3">
    <w:name w:val="heading 2"/>
    <w:basedOn w:val="1"/>
    <w:next w:val="1"/>
    <w:unhideWhenUsed/>
    <w:qFormat/>
    <w:uiPriority w:val="9"/>
    <w:pPr>
      <w:keepNext/>
      <w:keepLines/>
      <w:spacing w:before="360" w:after="80" w:line="240" w:lineRule="atLeast"/>
      <w:outlineLvl w:val="1"/>
    </w:pPr>
    <w:rPr>
      <w:rFonts w:ascii="Times New Roman" w:hAnsiTheme="minorHAnsi" w:eastAsiaTheme="minorHAnsi" w:cstheme="minorBidi"/>
      <w:b/>
      <w:sz w:val="36"/>
      <w:szCs w:val="36"/>
      <w:lang w:val="en-US" w:eastAsia="en-US" w:bidi="ar-SA"/>
    </w:rPr>
  </w:style>
  <w:style w:type="paragraph" w:styleId="4">
    <w:name w:val="heading 3"/>
    <w:basedOn w:val="1"/>
    <w:next w:val="1"/>
    <w:semiHidden/>
    <w:unhideWhenUsed/>
    <w:qFormat/>
    <w:uiPriority w:val="9"/>
    <w:pPr>
      <w:keepNext/>
      <w:keepLines/>
      <w:spacing w:before="280" w:after="80" w:line="240" w:lineRule="atLeast"/>
      <w:outlineLvl w:val="2"/>
    </w:pPr>
    <w:rPr>
      <w:rFonts w:ascii="Times New Roman" w:hAnsiTheme="minorHAnsi" w:eastAsiaTheme="minorHAnsi" w:cstheme="minorBidi"/>
      <w:b/>
      <w:sz w:val="28"/>
      <w:szCs w:val="28"/>
      <w:lang w:val="en-US" w:eastAsia="en-US" w:bidi="ar-SA"/>
    </w:rPr>
  </w:style>
  <w:style w:type="paragraph" w:styleId="5">
    <w:name w:val="heading 4"/>
    <w:next w:val="1"/>
    <w:semiHidden/>
    <w:unhideWhenUsed/>
    <w:qFormat/>
    <w:uiPriority w:val="9"/>
    <w:pPr>
      <w:keepNext/>
      <w:keepLines/>
      <w:spacing w:before="240" w:after="40" w:line="240" w:lineRule="atLeast"/>
      <w:outlineLvl w:val="3"/>
    </w:pPr>
    <w:rPr>
      <w:rFonts w:ascii="Times New Roman" w:hAnsiTheme="minorHAnsi" w:eastAsiaTheme="minorHAnsi" w:cstheme="minorBidi"/>
      <w:b/>
      <w:sz w:val="24"/>
      <w:szCs w:val="24"/>
      <w:lang w:val="en-US" w:eastAsia="en-US" w:bidi="ar-SA"/>
    </w:rPr>
  </w:style>
  <w:style w:type="paragraph" w:styleId="6">
    <w:name w:val="heading 5"/>
    <w:next w:val="1"/>
    <w:semiHidden/>
    <w:unhideWhenUsed/>
    <w:qFormat/>
    <w:uiPriority w:val="9"/>
    <w:pPr>
      <w:keepNext/>
      <w:keepLines/>
      <w:spacing w:before="220" w:after="40" w:line="240" w:lineRule="atLeast"/>
      <w:outlineLvl w:val="4"/>
    </w:pPr>
    <w:rPr>
      <w:rFonts w:ascii="Times New Roman" w:hAnsiTheme="minorHAnsi" w:eastAsiaTheme="minorHAnsi" w:cstheme="minorBidi"/>
      <w:b/>
      <w:sz w:val="22"/>
      <w:szCs w:val="22"/>
      <w:lang w:val="en-US" w:eastAsia="en-US" w:bidi="ar-SA"/>
    </w:rPr>
  </w:style>
  <w:style w:type="paragraph" w:styleId="7">
    <w:name w:val="heading 6"/>
    <w:next w:val="1"/>
    <w:semiHidden/>
    <w:unhideWhenUsed/>
    <w:qFormat/>
    <w:uiPriority w:val="9"/>
    <w:pPr>
      <w:keepNext/>
      <w:keepLines/>
      <w:spacing w:before="200" w:after="40" w:line="240" w:lineRule="atLeast"/>
      <w:outlineLvl w:val="5"/>
    </w:pPr>
    <w:rPr>
      <w:rFonts w:ascii="Times New Roman" w:hAnsiTheme="minorHAnsi" w:eastAsiaTheme="minorHAnsi" w:cstheme="minorBidi"/>
      <w:b/>
      <w:sz w:val="20"/>
      <w:szCs w:val="20"/>
      <w:lang w:val="en-US" w:eastAsia="en-US"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character" w:styleId="10">
    <w:name w:val="Hyperlink"/>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4682</Words>
  <Characters>5304</Characters>
  <TotalTime>29</TotalTime>
  <ScaleCrop>false</ScaleCrop>
  <LinksUpToDate>false</LinksUpToDate>
  <CharactersWithSpaces>5341</CharactersWithSpaces>
  <Application>WPS Office_11.1.0.10009_F1E327BC-269C-435d-A152-05C5408002CA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2026-07-10T07:51:00Z</dcterms:created>
  <dc:creator>html-to-docx</dc:creator>
  <cp:keywords>html-to-docx</cp:keywords>
  <cp:lastModifiedBy>对白</cp:lastModifiedBy>
  <dcterms:modified xsi:type="dcterms:W3CDTF">2026-07-13T10:02:11Z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eyJoZGlkIjoiNGJmMDQwOTViOWEyNDdkYjIyZjhiY2YxMDk2ZWNhMmMiLCJ1c2VySWQiOiIyNjMyNjQ0MzgifQ==</vt:lpwstr>
  </property>
  <property fmtid="{D5CDD505-2E9C-101B-9397-08002B2CF9AE}" pid="3" name="KSOProductBuildVer">
    <vt:lpwstr>2052-11.1.0.10009</vt:lpwstr>
  </property>
  <property fmtid="{D5CDD505-2E9C-101B-9397-08002B2CF9AE}" pid="4" name="ICV">
    <vt:lpwstr>08AE46DC5B42430E8582D8CD63CEF19D_12</vt:lpwstr>
  </property>
</Properties>
</file>